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FCA" w:rsidRPr="003E540C" w:rsidRDefault="00CC0FCA" w:rsidP="00CC0FCA">
      <w:pPr>
        <w:spacing w:line="480" w:lineRule="auto"/>
        <w:jc w:val="center"/>
        <w:rPr>
          <w:rFonts w:cs="Times New Roman"/>
          <w:b/>
          <w:szCs w:val="24"/>
          <w:lang w:val="en-GB"/>
        </w:rPr>
      </w:pPr>
      <w:r w:rsidRPr="003E540C">
        <w:rPr>
          <w:rFonts w:cs="Times New Roman"/>
          <w:b/>
          <w:szCs w:val="24"/>
          <w:lang w:val="en-GB"/>
        </w:rPr>
        <w:t>Should pension funds invest more in foreign assets – the case of Poland</w:t>
      </w:r>
    </w:p>
    <w:p w:rsidR="00BD49A3" w:rsidRPr="00CC0FCA" w:rsidRDefault="00CC0FCA" w:rsidP="00CC0FCA">
      <w:pPr>
        <w:spacing w:line="480" w:lineRule="auto"/>
        <w:jc w:val="center"/>
        <w:rPr>
          <w:rFonts w:cs="Times New Roman"/>
          <w:i/>
          <w:szCs w:val="24"/>
          <w:lang w:val="en-GB"/>
        </w:rPr>
      </w:pPr>
      <w:r w:rsidRPr="00CC0FCA">
        <w:rPr>
          <w:rFonts w:cs="Times New Roman"/>
          <w:i/>
          <w:szCs w:val="24"/>
          <w:lang w:val="en-GB"/>
        </w:rPr>
        <w:t>Radosław Kurach</w:t>
      </w:r>
      <w:r>
        <w:rPr>
          <w:rStyle w:val="Odwoanieprzypisudolnego"/>
          <w:rFonts w:cs="Times New Roman"/>
          <w:i/>
          <w:szCs w:val="24"/>
          <w:lang w:val="en-GB"/>
        </w:rPr>
        <w:footnoteReference w:id="1"/>
      </w:r>
      <w:r w:rsidRPr="00CC0FCA">
        <w:rPr>
          <w:rFonts w:cs="Times New Roman"/>
          <w:i/>
          <w:szCs w:val="24"/>
          <w:lang w:val="en-GB"/>
        </w:rPr>
        <w:t>, Wroclaw University of Economics</w:t>
      </w:r>
    </w:p>
    <w:p w:rsidR="00CC0FCA" w:rsidRDefault="00CC0FCA" w:rsidP="009539C0">
      <w:pPr>
        <w:spacing w:line="480" w:lineRule="auto"/>
        <w:jc w:val="left"/>
        <w:rPr>
          <w:rFonts w:cs="Times New Roman"/>
          <w:szCs w:val="24"/>
          <w:lang w:val="en-GB"/>
        </w:rPr>
      </w:pPr>
    </w:p>
    <w:p w:rsidR="0052502A" w:rsidRPr="00CC0FCA" w:rsidRDefault="00CC0FCA" w:rsidP="00CC0FCA">
      <w:pPr>
        <w:spacing w:line="480" w:lineRule="auto"/>
        <w:jc w:val="center"/>
        <w:rPr>
          <w:rFonts w:cs="Times New Roman"/>
          <w:b/>
          <w:szCs w:val="24"/>
          <w:lang w:val="en-GB"/>
        </w:rPr>
      </w:pPr>
      <w:r w:rsidRPr="00CC0FCA">
        <w:rPr>
          <w:rFonts w:cs="Times New Roman"/>
          <w:b/>
          <w:szCs w:val="24"/>
          <w:lang w:val="en-GB"/>
        </w:rPr>
        <w:t>Abstract</w:t>
      </w:r>
    </w:p>
    <w:p w:rsidR="009539C0" w:rsidRPr="003E540C" w:rsidRDefault="0073698A" w:rsidP="009539C0">
      <w:pPr>
        <w:spacing w:line="480" w:lineRule="auto"/>
        <w:ind w:firstLine="708"/>
        <w:rPr>
          <w:rFonts w:cs="Times New Roman"/>
          <w:szCs w:val="24"/>
          <w:lang w:val="en-GB"/>
        </w:rPr>
      </w:pPr>
      <w:r w:rsidRPr="00CC0FCA">
        <w:rPr>
          <w:rFonts w:cs="Times New Roman"/>
          <w:sz w:val="20"/>
          <w:szCs w:val="20"/>
          <w:lang w:val="en-GB"/>
        </w:rPr>
        <w:t xml:space="preserve">In this </w:t>
      </w:r>
      <w:r w:rsidR="00D506DC" w:rsidRPr="00CC0FCA">
        <w:rPr>
          <w:rFonts w:cs="Times New Roman"/>
          <w:sz w:val="20"/>
          <w:szCs w:val="20"/>
          <w:lang w:val="en-GB"/>
        </w:rPr>
        <w:t>paper</w:t>
      </w:r>
      <w:r w:rsidRPr="00CC0FCA">
        <w:rPr>
          <w:rFonts w:cs="Times New Roman"/>
          <w:sz w:val="20"/>
          <w:szCs w:val="20"/>
          <w:lang w:val="en-GB"/>
        </w:rPr>
        <w:t xml:space="preserve"> we discuss the diversification opportunities provided by</w:t>
      </w:r>
      <w:r w:rsidR="00792A22" w:rsidRPr="00CC0FCA">
        <w:rPr>
          <w:rFonts w:cs="Times New Roman"/>
          <w:sz w:val="20"/>
          <w:szCs w:val="20"/>
          <w:lang w:val="en-GB"/>
        </w:rPr>
        <w:t xml:space="preserve"> investing in</w:t>
      </w:r>
      <w:r w:rsidRPr="00CC0FCA">
        <w:rPr>
          <w:rFonts w:cs="Times New Roman"/>
          <w:sz w:val="20"/>
          <w:szCs w:val="20"/>
          <w:lang w:val="en-GB"/>
        </w:rPr>
        <w:t xml:space="preserve"> foreign assets. In particular, we verify the hypothesis that the observed weight of foreign assets in the portfolios managed by Polish Open Pension Funds (OPF) is too low to achieve the maximum risk-reduction gains. The results of the carried research confirm our initial assessment</w:t>
      </w:r>
      <w:r w:rsidR="0060319B">
        <w:rPr>
          <w:rFonts w:cs="Times New Roman"/>
          <w:sz w:val="20"/>
          <w:szCs w:val="20"/>
          <w:lang w:val="en-GB"/>
        </w:rPr>
        <w:t>, so w</w:t>
      </w:r>
      <w:r w:rsidR="00BD315D" w:rsidRPr="00CC0FCA">
        <w:rPr>
          <w:rFonts w:cs="Times New Roman"/>
          <w:sz w:val="20"/>
          <w:szCs w:val="20"/>
          <w:lang w:val="en-GB"/>
        </w:rPr>
        <w:t>e</w:t>
      </w:r>
      <w:r w:rsidR="00792A22" w:rsidRPr="00CC0FCA">
        <w:rPr>
          <w:rFonts w:cs="Times New Roman"/>
          <w:sz w:val="20"/>
          <w:szCs w:val="20"/>
          <w:lang w:val="en-GB"/>
        </w:rPr>
        <w:t xml:space="preserve"> consider the potential explanations of the observed </w:t>
      </w:r>
      <w:r w:rsidR="00792A22" w:rsidRPr="00CC0FCA">
        <w:rPr>
          <w:rFonts w:cs="Times New Roman"/>
          <w:i/>
          <w:sz w:val="20"/>
          <w:szCs w:val="20"/>
          <w:lang w:val="en-GB"/>
        </w:rPr>
        <w:t>home bias</w:t>
      </w:r>
      <w:r w:rsidR="00792A22" w:rsidRPr="00CC0FCA">
        <w:rPr>
          <w:rFonts w:cs="Times New Roman"/>
          <w:sz w:val="20"/>
          <w:szCs w:val="20"/>
          <w:lang w:val="en-GB"/>
        </w:rPr>
        <w:t xml:space="preserve"> phenomenon. </w:t>
      </w:r>
      <w:r w:rsidR="003450CA" w:rsidRPr="00CC0FCA">
        <w:rPr>
          <w:rFonts w:cs="Times New Roman"/>
          <w:sz w:val="20"/>
          <w:szCs w:val="20"/>
          <w:lang w:val="en-GB"/>
        </w:rPr>
        <w:t>Finally, we conclude that in the case of Poland the main driving force of the current engagement in foreign assets may be the</w:t>
      </w:r>
      <w:r w:rsidR="00B06345">
        <w:rPr>
          <w:rFonts w:cs="Times New Roman"/>
          <w:sz w:val="20"/>
          <w:szCs w:val="20"/>
          <w:lang w:val="en-GB"/>
        </w:rPr>
        <w:t xml:space="preserve"> regulatory issues: the legal ban on using the FX derivatives and the</w:t>
      </w:r>
      <w:r w:rsidR="003450CA" w:rsidRPr="00CC0FCA">
        <w:rPr>
          <w:rFonts w:cs="Times New Roman"/>
          <w:sz w:val="20"/>
          <w:szCs w:val="20"/>
          <w:lang w:val="en-GB"/>
        </w:rPr>
        <w:t xml:space="preserve"> mechanism of calculating the minimum required rate of return. </w:t>
      </w:r>
    </w:p>
    <w:p w:rsidR="009539C0" w:rsidRPr="003E540C" w:rsidRDefault="009539C0" w:rsidP="009539C0">
      <w:pPr>
        <w:spacing w:line="480" w:lineRule="auto"/>
        <w:ind w:firstLine="708"/>
        <w:rPr>
          <w:rFonts w:cs="Times New Roman"/>
          <w:szCs w:val="24"/>
          <w:lang w:val="en-GB"/>
        </w:rPr>
      </w:pPr>
    </w:p>
    <w:p w:rsidR="009539C0" w:rsidRPr="003E540C" w:rsidRDefault="009539C0" w:rsidP="009539C0">
      <w:pPr>
        <w:spacing w:line="480" w:lineRule="auto"/>
        <w:ind w:firstLine="708"/>
        <w:rPr>
          <w:rFonts w:cs="Times New Roman"/>
          <w:szCs w:val="24"/>
          <w:lang w:val="en-GB"/>
        </w:rPr>
      </w:pPr>
    </w:p>
    <w:p w:rsidR="009539C0" w:rsidRDefault="009539C0" w:rsidP="009539C0">
      <w:pPr>
        <w:spacing w:line="480" w:lineRule="auto"/>
        <w:ind w:firstLine="708"/>
        <w:rPr>
          <w:rFonts w:cs="Times New Roman"/>
          <w:szCs w:val="24"/>
          <w:lang w:val="en-GB"/>
        </w:rPr>
      </w:pPr>
    </w:p>
    <w:p w:rsidR="00CC0FCA" w:rsidRDefault="00CC0FCA" w:rsidP="009539C0">
      <w:pPr>
        <w:spacing w:line="480" w:lineRule="auto"/>
        <w:ind w:firstLine="708"/>
        <w:rPr>
          <w:rFonts w:cs="Times New Roman"/>
          <w:szCs w:val="24"/>
          <w:lang w:val="en-GB"/>
        </w:rPr>
      </w:pPr>
    </w:p>
    <w:p w:rsidR="00CC0FCA" w:rsidRDefault="00CC0FCA" w:rsidP="009539C0">
      <w:pPr>
        <w:spacing w:line="480" w:lineRule="auto"/>
        <w:ind w:firstLine="708"/>
        <w:rPr>
          <w:rFonts w:cs="Times New Roman"/>
          <w:szCs w:val="24"/>
          <w:lang w:val="en-GB"/>
        </w:rPr>
      </w:pPr>
    </w:p>
    <w:p w:rsidR="00CC0FCA" w:rsidRDefault="00CC0FCA" w:rsidP="009539C0">
      <w:pPr>
        <w:spacing w:line="480" w:lineRule="auto"/>
        <w:ind w:firstLine="708"/>
        <w:rPr>
          <w:rFonts w:cs="Times New Roman"/>
          <w:szCs w:val="24"/>
          <w:lang w:val="en-GB"/>
        </w:rPr>
      </w:pPr>
    </w:p>
    <w:p w:rsidR="00CC0FCA" w:rsidRDefault="00CC0FCA" w:rsidP="009539C0">
      <w:pPr>
        <w:spacing w:line="480" w:lineRule="auto"/>
        <w:ind w:firstLine="708"/>
        <w:rPr>
          <w:rFonts w:cs="Times New Roman"/>
          <w:szCs w:val="24"/>
          <w:lang w:val="en-GB"/>
        </w:rPr>
      </w:pPr>
    </w:p>
    <w:p w:rsidR="00CC0FCA" w:rsidRDefault="00CC0FCA" w:rsidP="009539C0">
      <w:pPr>
        <w:spacing w:line="480" w:lineRule="auto"/>
        <w:ind w:firstLine="708"/>
        <w:rPr>
          <w:rFonts w:cs="Times New Roman"/>
          <w:szCs w:val="24"/>
          <w:lang w:val="en-GB"/>
        </w:rPr>
      </w:pPr>
    </w:p>
    <w:p w:rsidR="00CC0FCA" w:rsidRDefault="00CC0FCA" w:rsidP="009539C0">
      <w:pPr>
        <w:spacing w:line="480" w:lineRule="auto"/>
        <w:ind w:firstLine="708"/>
        <w:rPr>
          <w:rFonts w:cs="Times New Roman"/>
          <w:szCs w:val="24"/>
          <w:lang w:val="en-GB"/>
        </w:rPr>
      </w:pPr>
    </w:p>
    <w:p w:rsidR="0060319B" w:rsidRDefault="0060319B" w:rsidP="009539C0">
      <w:pPr>
        <w:spacing w:line="480" w:lineRule="auto"/>
        <w:ind w:firstLine="708"/>
        <w:rPr>
          <w:rFonts w:cs="Times New Roman"/>
          <w:szCs w:val="24"/>
          <w:lang w:val="en-GB"/>
        </w:rPr>
      </w:pPr>
    </w:p>
    <w:p w:rsidR="0060319B" w:rsidRDefault="0060319B" w:rsidP="009539C0">
      <w:pPr>
        <w:spacing w:line="480" w:lineRule="auto"/>
        <w:ind w:firstLine="708"/>
        <w:rPr>
          <w:rFonts w:cs="Times New Roman"/>
          <w:szCs w:val="24"/>
          <w:lang w:val="en-GB"/>
        </w:rPr>
      </w:pPr>
    </w:p>
    <w:p w:rsidR="0060319B" w:rsidRDefault="0060319B" w:rsidP="009539C0">
      <w:pPr>
        <w:spacing w:line="480" w:lineRule="auto"/>
        <w:ind w:firstLine="708"/>
        <w:rPr>
          <w:rFonts w:cs="Times New Roman"/>
          <w:szCs w:val="24"/>
          <w:lang w:val="en-GB"/>
        </w:rPr>
      </w:pPr>
    </w:p>
    <w:p w:rsidR="0060319B" w:rsidRDefault="0060319B" w:rsidP="009539C0">
      <w:pPr>
        <w:spacing w:line="480" w:lineRule="auto"/>
        <w:ind w:firstLine="708"/>
        <w:rPr>
          <w:rFonts w:cs="Times New Roman"/>
          <w:szCs w:val="24"/>
          <w:lang w:val="en-GB"/>
        </w:rPr>
      </w:pPr>
    </w:p>
    <w:p w:rsidR="0060319B" w:rsidRPr="003E540C" w:rsidRDefault="0060319B" w:rsidP="009539C0">
      <w:pPr>
        <w:spacing w:line="480" w:lineRule="auto"/>
        <w:ind w:firstLine="708"/>
        <w:rPr>
          <w:rFonts w:cs="Times New Roman"/>
          <w:szCs w:val="24"/>
          <w:lang w:val="en-GB"/>
        </w:rPr>
      </w:pPr>
    </w:p>
    <w:p w:rsidR="009539C0" w:rsidRPr="003E540C" w:rsidRDefault="009539C0" w:rsidP="009539C0">
      <w:pPr>
        <w:pStyle w:val="Akapitzlist"/>
        <w:numPr>
          <w:ilvl w:val="0"/>
          <w:numId w:val="1"/>
        </w:numPr>
        <w:spacing w:line="480" w:lineRule="auto"/>
        <w:rPr>
          <w:rFonts w:cs="Times New Roman"/>
          <w:b/>
          <w:szCs w:val="24"/>
          <w:lang w:val="en-GB"/>
        </w:rPr>
      </w:pPr>
      <w:r w:rsidRPr="003E540C">
        <w:rPr>
          <w:rFonts w:cs="Times New Roman"/>
          <w:b/>
          <w:szCs w:val="24"/>
          <w:lang w:val="en-GB"/>
        </w:rPr>
        <w:lastRenderedPageBreak/>
        <w:t>Introduction</w:t>
      </w:r>
    </w:p>
    <w:p w:rsidR="009539C0" w:rsidRPr="003E540C" w:rsidRDefault="009539C0" w:rsidP="003E540C">
      <w:pPr>
        <w:spacing w:line="480" w:lineRule="auto"/>
        <w:ind w:firstLine="708"/>
        <w:rPr>
          <w:rFonts w:cs="Times New Roman"/>
          <w:szCs w:val="24"/>
          <w:lang w:val="en-GB"/>
        </w:rPr>
      </w:pPr>
      <w:r w:rsidRPr="003E540C">
        <w:rPr>
          <w:rFonts w:cs="Times New Roman"/>
          <w:szCs w:val="24"/>
          <w:lang w:val="en-GB"/>
        </w:rPr>
        <w:t>The general conclusion from the Markowitz (1952) seminal paper states that rational and risk-averse investors should hold the portfolios that maximize the risk adjusted return.</w:t>
      </w:r>
      <w:r w:rsidR="00811281" w:rsidRPr="003E540C">
        <w:rPr>
          <w:rFonts w:cs="Times New Roman"/>
          <w:szCs w:val="24"/>
          <w:lang w:val="en-GB"/>
        </w:rPr>
        <w:t xml:space="preserve"> Investors can exploit diversification opportunities (reducing the portfolio risk while keeping the return constant) by keeping the mix of different assets. The diversification potential is greater, other things the same, whenever the correlation </w:t>
      </w:r>
      <w:r w:rsidR="00CC30AF">
        <w:rPr>
          <w:rFonts w:cs="Times New Roman"/>
          <w:szCs w:val="24"/>
          <w:lang w:val="en-GB"/>
        </w:rPr>
        <w:t>coefficient between asse</w:t>
      </w:r>
      <w:r w:rsidR="00811281" w:rsidRPr="003E540C">
        <w:rPr>
          <w:rFonts w:cs="Times New Roman"/>
          <w:szCs w:val="24"/>
          <w:lang w:val="en-GB"/>
        </w:rPr>
        <w:t>t returns i</w:t>
      </w:r>
      <w:r w:rsidR="00F252DF" w:rsidRPr="003E540C">
        <w:rPr>
          <w:rFonts w:cs="Times New Roman"/>
          <w:szCs w:val="24"/>
          <w:lang w:val="en-GB"/>
        </w:rPr>
        <w:t>s</w:t>
      </w:r>
      <w:r w:rsidR="00811281" w:rsidRPr="003E540C">
        <w:rPr>
          <w:rFonts w:cs="Times New Roman"/>
          <w:szCs w:val="24"/>
          <w:lang w:val="en-GB"/>
        </w:rPr>
        <w:t xml:space="preserve"> lower. Consequently, investors should look for the securities </w:t>
      </w:r>
      <w:r w:rsidR="00F252DF" w:rsidRPr="003E540C">
        <w:rPr>
          <w:rFonts w:cs="Times New Roman"/>
          <w:szCs w:val="24"/>
          <w:lang w:val="en-GB"/>
        </w:rPr>
        <w:t>that</w:t>
      </w:r>
      <w:r w:rsidR="00811281" w:rsidRPr="003E540C">
        <w:rPr>
          <w:rFonts w:cs="Times New Roman"/>
          <w:szCs w:val="24"/>
          <w:lang w:val="en-GB"/>
        </w:rPr>
        <w:t xml:space="preserve"> do not exhibit</w:t>
      </w:r>
      <w:r w:rsidR="00F252DF" w:rsidRPr="003E540C">
        <w:rPr>
          <w:rFonts w:cs="Times New Roman"/>
          <w:szCs w:val="24"/>
          <w:lang w:val="en-GB"/>
        </w:rPr>
        <w:t xml:space="preserve"> strong co-movement.</w:t>
      </w:r>
    </w:p>
    <w:p w:rsidR="00F252DF" w:rsidRPr="003E540C" w:rsidRDefault="002500A2" w:rsidP="009554EF">
      <w:pPr>
        <w:spacing w:line="480" w:lineRule="auto"/>
        <w:ind w:firstLine="708"/>
        <w:rPr>
          <w:rFonts w:cs="Times New Roman"/>
          <w:szCs w:val="24"/>
          <w:lang w:val="en-GB"/>
        </w:rPr>
      </w:pPr>
      <w:r w:rsidRPr="003E540C">
        <w:rPr>
          <w:rFonts w:cs="Times New Roman"/>
          <w:szCs w:val="24"/>
          <w:lang w:val="en-GB"/>
        </w:rPr>
        <w:t xml:space="preserve">In the early years of development, Modern Portfolio Theory (MPT) was discussed mainly in the local context. The risk-reduction gains could be achieved by selecting equities of different companies to eliminate the specific firm-level risk. </w:t>
      </w:r>
      <w:r w:rsidR="0051361A" w:rsidRPr="003E540C">
        <w:rPr>
          <w:rFonts w:cs="Times New Roman"/>
          <w:szCs w:val="24"/>
          <w:lang w:val="en-GB"/>
        </w:rPr>
        <w:t>Since the 70’s when the restrictions on international capital flows started to be removed, the investors gained additional diversification opportunities by inv</w:t>
      </w:r>
      <w:r w:rsidR="0041176C" w:rsidRPr="003E540C">
        <w:rPr>
          <w:rFonts w:cs="Times New Roman"/>
          <w:szCs w:val="24"/>
          <w:lang w:val="en-GB"/>
        </w:rPr>
        <w:t xml:space="preserve">esting their funds abroad. </w:t>
      </w:r>
      <w:r w:rsidR="003E540C">
        <w:rPr>
          <w:rFonts w:cs="Times New Roman"/>
          <w:szCs w:val="24"/>
          <w:lang w:val="en-GB"/>
        </w:rPr>
        <w:t>Keeping foreign assets</w:t>
      </w:r>
      <w:r w:rsidR="0041176C" w:rsidRPr="003E540C">
        <w:rPr>
          <w:rFonts w:cs="Times New Roman"/>
          <w:szCs w:val="24"/>
          <w:lang w:val="en-GB"/>
        </w:rPr>
        <w:t xml:space="preserve"> investor</w:t>
      </w:r>
      <w:r w:rsidR="003E540C">
        <w:rPr>
          <w:rFonts w:cs="Times New Roman"/>
          <w:szCs w:val="24"/>
          <w:lang w:val="en-GB"/>
        </w:rPr>
        <w:t>s</w:t>
      </w:r>
      <w:r w:rsidR="0041176C" w:rsidRPr="003E540C">
        <w:rPr>
          <w:rFonts w:cs="Times New Roman"/>
          <w:szCs w:val="24"/>
          <w:lang w:val="en-GB"/>
        </w:rPr>
        <w:t xml:space="preserve"> are able to diversify not only firms’ specific risk</w:t>
      </w:r>
      <w:r w:rsidR="00134A6F">
        <w:rPr>
          <w:rFonts w:cs="Times New Roman"/>
          <w:szCs w:val="24"/>
          <w:lang w:val="en-GB"/>
        </w:rPr>
        <w:t>s</w:t>
      </w:r>
      <w:r w:rsidR="0041176C" w:rsidRPr="003E540C">
        <w:rPr>
          <w:rFonts w:cs="Times New Roman"/>
          <w:szCs w:val="24"/>
          <w:lang w:val="en-GB"/>
        </w:rPr>
        <w:t>, but also country-idiosyncratic risk which is non-diversifiable in the local context.</w:t>
      </w:r>
      <w:r w:rsidR="006B0EA2" w:rsidRPr="003E540C">
        <w:rPr>
          <w:rFonts w:cs="Times New Roman"/>
          <w:szCs w:val="24"/>
          <w:lang w:val="en-GB"/>
        </w:rPr>
        <w:t xml:space="preserve"> Numerous studies confirmed the benefits of</w:t>
      </w:r>
      <w:r w:rsidR="007603E4">
        <w:rPr>
          <w:rFonts w:cs="Times New Roman"/>
          <w:szCs w:val="24"/>
          <w:lang w:val="en-GB"/>
        </w:rPr>
        <w:t xml:space="preserve"> international asset allocation (</w:t>
      </w:r>
      <w:proofErr w:type="spellStart"/>
      <w:r w:rsidR="007603E4">
        <w:rPr>
          <w:lang w:val="en-US"/>
        </w:rPr>
        <w:t>Grubel</w:t>
      </w:r>
      <w:proofErr w:type="spellEnd"/>
      <w:r w:rsidR="00CC30AF">
        <w:rPr>
          <w:lang w:val="en-US"/>
        </w:rPr>
        <w:t>, 1968;</w:t>
      </w:r>
      <w:r w:rsidR="007603E4">
        <w:rPr>
          <w:lang w:val="en-US"/>
        </w:rPr>
        <w:t xml:space="preserve"> Levy and </w:t>
      </w:r>
      <w:proofErr w:type="spellStart"/>
      <w:r w:rsidR="007603E4">
        <w:rPr>
          <w:lang w:val="en-US"/>
        </w:rPr>
        <w:t>Sarnat</w:t>
      </w:r>
      <w:proofErr w:type="spellEnd"/>
      <w:r w:rsidR="00CC30AF">
        <w:rPr>
          <w:lang w:val="en-US"/>
        </w:rPr>
        <w:t>,</w:t>
      </w:r>
      <w:r w:rsidR="007603E4">
        <w:rPr>
          <w:lang w:val="en-US"/>
        </w:rPr>
        <w:t xml:space="preserve"> 1970)</w:t>
      </w:r>
      <w:r w:rsidR="00CC30AF">
        <w:rPr>
          <w:lang w:val="en-US"/>
        </w:rPr>
        <w:t>.</w:t>
      </w:r>
      <w:r w:rsidR="006B0EA2" w:rsidRPr="003E540C">
        <w:rPr>
          <w:rFonts w:cs="Times New Roman"/>
          <w:szCs w:val="24"/>
          <w:lang w:val="en-GB"/>
        </w:rPr>
        <w:t xml:space="preserve"> However</w:t>
      </w:r>
      <w:r w:rsidR="007603E4">
        <w:rPr>
          <w:rFonts w:cs="Times New Roman"/>
          <w:szCs w:val="24"/>
          <w:lang w:val="en-GB"/>
        </w:rPr>
        <w:t>,</w:t>
      </w:r>
      <w:r w:rsidR="006B0EA2" w:rsidRPr="003E540C">
        <w:rPr>
          <w:rFonts w:cs="Times New Roman"/>
          <w:szCs w:val="24"/>
          <w:lang w:val="en-GB"/>
        </w:rPr>
        <w:t xml:space="preserve"> in the mo</w:t>
      </w:r>
      <w:r w:rsidR="003E540C">
        <w:rPr>
          <w:rFonts w:cs="Times New Roman"/>
          <w:szCs w:val="24"/>
          <w:lang w:val="en-GB"/>
        </w:rPr>
        <w:t>re</w:t>
      </w:r>
      <w:r w:rsidR="006B0EA2" w:rsidRPr="003E540C">
        <w:rPr>
          <w:rFonts w:cs="Times New Roman"/>
          <w:szCs w:val="24"/>
          <w:lang w:val="en-GB"/>
        </w:rPr>
        <w:t xml:space="preserve"> recent papers this risk-reduction gains where fund to be diminishing</w:t>
      </w:r>
      <w:r w:rsidR="007603E4">
        <w:rPr>
          <w:rFonts w:cs="Times New Roman"/>
          <w:szCs w:val="24"/>
          <w:lang w:val="en-GB"/>
        </w:rPr>
        <w:t xml:space="preserve"> (</w:t>
      </w:r>
      <w:r w:rsidR="007603E4" w:rsidRPr="00CA51FE">
        <w:rPr>
          <w:rFonts w:cs="Times New Roman"/>
          <w:lang w:val="en-GB"/>
        </w:rPr>
        <w:t xml:space="preserve">Baca </w:t>
      </w:r>
      <w:r w:rsidR="007603E4" w:rsidRPr="00CA51FE">
        <w:rPr>
          <w:rFonts w:cs="Times New Roman"/>
          <w:i/>
          <w:iCs/>
          <w:lang w:val="en-GB"/>
        </w:rPr>
        <w:t>et al.</w:t>
      </w:r>
      <w:r w:rsidR="00CC30AF">
        <w:rPr>
          <w:rFonts w:cs="Times New Roman"/>
          <w:iCs/>
          <w:lang w:val="en-GB"/>
        </w:rPr>
        <w:t>,</w:t>
      </w:r>
      <w:r w:rsidR="00CC30AF">
        <w:rPr>
          <w:rFonts w:cs="Times New Roman"/>
          <w:lang w:val="en-GB"/>
        </w:rPr>
        <w:t xml:space="preserve"> 2000;</w:t>
      </w:r>
      <w:r w:rsidR="007603E4" w:rsidRPr="00CA51FE">
        <w:rPr>
          <w:rFonts w:cs="Times New Roman"/>
          <w:lang w:val="en-GB"/>
        </w:rPr>
        <w:t xml:space="preserve"> </w:t>
      </w:r>
      <w:r w:rsidR="007603E4" w:rsidRPr="00CA51FE">
        <w:rPr>
          <w:rFonts w:cs="Times New Roman"/>
          <w:szCs w:val="20"/>
          <w:lang w:val="en-GB"/>
        </w:rPr>
        <w:t>Brooks and Del Negro</w:t>
      </w:r>
      <w:r w:rsidR="00CC30AF">
        <w:rPr>
          <w:rFonts w:cs="Times New Roman"/>
          <w:szCs w:val="20"/>
          <w:lang w:val="en-GB"/>
        </w:rPr>
        <w:t>,</w:t>
      </w:r>
      <w:r w:rsidR="007603E4" w:rsidRPr="00CA51FE">
        <w:rPr>
          <w:rFonts w:cs="Times New Roman"/>
          <w:szCs w:val="20"/>
          <w:lang w:val="en-GB"/>
        </w:rPr>
        <w:t xml:space="preserve"> 2002</w:t>
      </w:r>
      <w:r w:rsidR="007603E4" w:rsidRPr="00CA51FE">
        <w:rPr>
          <w:rFonts w:cs="Times New Roman"/>
          <w:lang w:val="en-GB"/>
        </w:rPr>
        <w:t xml:space="preserve">; </w:t>
      </w:r>
      <w:proofErr w:type="spellStart"/>
      <w:r w:rsidR="007603E4" w:rsidRPr="00CA51FE">
        <w:rPr>
          <w:rFonts w:cs="Times New Roman"/>
          <w:lang w:val="en-GB"/>
        </w:rPr>
        <w:t>Niemczak</w:t>
      </w:r>
      <w:proofErr w:type="spellEnd"/>
      <w:r w:rsidR="00CC30AF">
        <w:rPr>
          <w:rFonts w:cs="Times New Roman"/>
          <w:lang w:val="en-GB"/>
        </w:rPr>
        <w:t>,</w:t>
      </w:r>
      <w:r w:rsidR="007603E4" w:rsidRPr="00CA51FE">
        <w:rPr>
          <w:rFonts w:cs="Times New Roman"/>
          <w:lang w:val="en-GB"/>
        </w:rPr>
        <w:t xml:space="preserve"> 2010</w:t>
      </w:r>
      <w:r w:rsidR="00CC30AF">
        <w:rPr>
          <w:rFonts w:cs="Times New Roman"/>
          <w:lang w:val="en-GB"/>
        </w:rPr>
        <w:t>;</w:t>
      </w:r>
      <w:r w:rsidR="006D477F">
        <w:rPr>
          <w:rFonts w:cs="Times New Roman"/>
          <w:lang w:val="en-GB"/>
        </w:rPr>
        <w:t xml:space="preserve"> </w:t>
      </w:r>
      <w:proofErr w:type="spellStart"/>
      <w:r w:rsidR="006D477F">
        <w:rPr>
          <w:rFonts w:cs="Times New Roman"/>
          <w:lang w:val="en-GB"/>
        </w:rPr>
        <w:t>Kurach</w:t>
      </w:r>
      <w:proofErr w:type="spellEnd"/>
      <w:r w:rsidR="00CC30AF">
        <w:rPr>
          <w:rFonts w:cs="Times New Roman"/>
          <w:lang w:val="en-GB"/>
        </w:rPr>
        <w:t>,</w:t>
      </w:r>
      <w:r w:rsidR="006D477F">
        <w:rPr>
          <w:rFonts w:cs="Times New Roman"/>
          <w:lang w:val="en-GB"/>
        </w:rPr>
        <w:t xml:space="preserve"> 2011</w:t>
      </w:r>
      <w:r w:rsidR="007603E4">
        <w:rPr>
          <w:rFonts w:cs="Times New Roman"/>
          <w:lang w:val="en-GB"/>
        </w:rPr>
        <w:t>)</w:t>
      </w:r>
      <w:r w:rsidR="007603E4" w:rsidRPr="00CA51FE">
        <w:rPr>
          <w:rFonts w:cs="Times New Roman"/>
          <w:lang w:val="en-GB"/>
        </w:rPr>
        <w:t xml:space="preserve">, </w:t>
      </w:r>
      <w:r w:rsidR="006B0EA2" w:rsidRPr="003E540C">
        <w:rPr>
          <w:rFonts w:cs="Times New Roman"/>
          <w:szCs w:val="24"/>
          <w:lang w:val="en-GB"/>
        </w:rPr>
        <w:t xml:space="preserve">due to the </w:t>
      </w:r>
      <w:r w:rsidR="007603E4">
        <w:rPr>
          <w:rFonts w:cs="Times New Roman"/>
          <w:szCs w:val="24"/>
          <w:lang w:val="en-GB"/>
        </w:rPr>
        <w:t>international market integration process.</w:t>
      </w:r>
    </w:p>
    <w:p w:rsidR="006B0EA2" w:rsidRPr="003E540C" w:rsidRDefault="006B0EA2" w:rsidP="0081354A">
      <w:pPr>
        <w:spacing w:line="480" w:lineRule="auto"/>
        <w:ind w:firstLine="708"/>
        <w:rPr>
          <w:rFonts w:cs="Times New Roman"/>
          <w:szCs w:val="24"/>
          <w:lang w:val="en-GB"/>
        </w:rPr>
      </w:pPr>
      <w:r w:rsidRPr="003E540C">
        <w:rPr>
          <w:rFonts w:cs="Times New Roman"/>
          <w:szCs w:val="24"/>
          <w:lang w:val="en-GB"/>
        </w:rPr>
        <w:t>To asses</w:t>
      </w:r>
      <w:r w:rsidR="005C1DA3" w:rsidRPr="003E540C">
        <w:rPr>
          <w:rFonts w:cs="Times New Roman"/>
          <w:szCs w:val="24"/>
          <w:lang w:val="en-GB"/>
        </w:rPr>
        <w:t>s</w:t>
      </w:r>
      <w:r w:rsidRPr="003E540C">
        <w:rPr>
          <w:rFonts w:cs="Times New Roman"/>
          <w:szCs w:val="24"/>
          <w:lang w:val="en-GB"/>
        </w:rPr>
        <w:t xml:space="preserve"> the diversification benefits of international investing one should keep in mind </w:t>
      </w:r>
      <w:r w:rsidR="005C1DA3" w:rsidRPr="003E540C">
        <w:rPr>
          <w:rFonts w:cs="Times New Roman"/>
          <w:szCs w:val="24"/>
          <w:lang w:val="en-GB"/>
        </w:rPr>
        <w:t xml:space="preserve">also the </w:t>
      </w:r>
      <w:r w:rsidRPr="003E540C">
        <w:rPr>
          <w:rFonts w:cs="Times New Roman"/>
          <w:szCs w:val="24"/>
          <w:lang w:val="en-GB"/>
        </w:rPr>
        <w:t>exchange rate fluctua</w:t>
      </w:r>
      <w:r w:rsidR="005C1DA3" w:rsidRPr="003E540C">
        <w:rPr>
          <w:rFonts w:cs="Times New Roman"/>
          <w:szCs w:val="24"/>
          <w:lang w:val="en-GB"/>
        </w:rPr>
        <w:t xml:space="preserve">tions. Most </w:t>
      </w:r>
      <w:r w:rsidR="00CC30AF">
        <w:rPr>
          <w:rFonts w:cs="Times New Roman"/>
          <w:szCs w:val="24"/>
          <w:lang w:val="en-GB"/>
        </w:rPr>
        <w:t>of the existing studies present</w:t>
      </w:r>
      <w:r w:rsidR="005C1DA3" w:rsidRPr="003E540C">
        <w:rPr>
          <w:rFonts w:cs="Times New Roman"/>
          <w:szCs w:val="24"/>
          <w:lang w:val="en-GB"/>
        </w:rPr>
        <w:t xml:space="preserve"> the perspective of the US investor by employing the USD denominated returns. Hedging the currency risk may actual increase or reduce the diversification benefits. Therefore, the  conclusions from the previous research may not be universal and the FX risk should be taken into account.</w:t>
      </w:r>
    </w:p>
    <w:p w:rsidR="005C1DA3" w:rsidRPr="003E540C" w:rsidRDefault="009C13EE" w:rsidP="0081354A">
      <w:pPr>
        <w:spacing w:line="480" w:lineRule="auto"/>
        <w:ind w:firstLine="708"/>
        <w:rPr>
          <w:rFonts w:cs="Times New Roman"/>
          <w:szCs w:val="24"/>
          <w:lang w:val="en-GB"/>
        </w:rPr>
      </w:pPr>
      <w:r w:rsidRPr="003E540C">
        <w:rPr>
          <w:rFonts w:cs="Times New Roman"/>
          <w:szCs w:val="24"/>
          <w:lang w:val="en-GB"/>
        </w:rPr>
        <w:lastRenderedPageBreak/>
        <w:t>All of these considerations are valid also for the pension funds</w:t>
      </w:r>
      <w:r w:rsidR="00CC30AF">
        <w:rPr>
          <w:rFonts w:cs="Times New Roman"/>
          <w:szCs w:val="24"/>
          <w:lang w:val="en-GB"/>
        </w:rPr>
        <w:t>’</w:t>
      </w:r>
      <w:r w:rsidRPr="003E540C">
        <w:rPr>
          <w:rFonts w:cs="Times New Roman"/>
          <w:szCs w:val="24"/>
          <w:lang w:val="en-GB"/>
        </w:rPr>
        <w:t xml:space="preserve"> asset management process.</w:t>
      </w:r>
      <w:r w:rsidR="00C845A6" w:rsidRPr="003E540C">
        <w:rPr>
          <w:rFonts w:cs="Times New Roman"/>
          <w:szCs w:val="24"/>
          <w:lang w:val="en-GB"/>
        </w:rPr>
        <w:t xml:space="preserve"> Since the 8</w:t>
      </w:r>
      <w:r w:rsidR="008F7982" w:rsidRPr="003E540C">
        <w:rPr>
          <w:rFonts w:cs="Times New Roman"/>
          <w:szCs w:val="24"/>
          <w:lang w:val="en-GB"/>
        </w:rPr>
        <w:t>0s’ mainly Latin America states</w:t>
      </w:r>
      <w:r w:rsidR="00C845A6" w:rsidRPr="003E540C">
        <w:rPr>
          <w:rFonts w:cs="Times New Roman"/>
          <w:szCs w:val="24"/>
          <w:lang w:val="en-GB"/>
        </w:rPr>
        <w:t xml:space="preserve"> and from the end of the 90s’ Central a</w:t>
      </w:r>
      <w:r w:rsidR="008F7982" w:rsidRPr="003E540C">
        <w:rPr>
          <w:rFonts w:cs="Times New Roman"/>
          <w:szCs w:val="24"/>
          <w:lang w:val="en-GB"/>
        </w:rPr>
        <w:t xml:space="preserve">nd Eastern European countries implemented </w:t>
      </w:r>
      <w:r w:rsidR="009E73D7" w:rsidRPr="003E540C">
        <w:rPr>
          <w:rFonts w:cs="Times New Roman"/>
          <w:szCs w:val="24"/>
          <w:lang w:val="en-GB"/>
        </w:rPr>
        <w:t xml:space="preserve">serious reforms of </w:t>
      </w:r>
      <w:r w:rsidR="00C845A6" w:rsidRPr="003E540C">
        <w:rPr>
          <w:rFonts w:cs="Times New Roman"/>
          <w:szCs w:val="24"/>
          <w:lang w:val="en-GB"/>
        </w:rPr>
        <w:t>their pensions systems.</w:t>
      </w:r>
      <w:r w:rsidR="008F7982" w:rsidRPr="003E540C">
        <w:rPr>
          <w:rFonts w:cs="Times New Roman"/>
          <w:szCs w:val="24"/>
          <w:lang w:val="en-GB"/>
        </w:rPr>
        <w:t xml:space="preserve"> In general, the pension systems have been transformed, partly or wholly, towards the systems based on </w:t>
      </w:r>
      <w:r w:rsidR="00CC30AF">
        <w:rPr>
          <w:rFonts w:cs="Times New Roman"/>
          <w:szCs w:val="24"/>
          <w:lang w:val="en-GB"/>
        </w:rPr>
        <w:t xml:space="preserve">the </w:t>
      </w:r>
      <w:r w:rsidR="008F7982" w:rsidRPr="003E540C">
        <w:rPr>
          <w:rFonts w:cs="Times New Roman"/>
          <w:szCs w:val="24"/>
          <w:lang w:val="en-GB"/>
        </w:rPr>
        <w:t>defined con</w:t>
      </w:r>
      <w:r w:rsidR="00AD5F12" w:rsidRPr="003E540C">
        <w:rPr>
          <w:rFonts w:cs="Times New Roman"/>
          <w:szCs w:val="24"/>
          <w:lang w:val="en-GB"/>
        </w:rPr>
        <w:t xml:space="preserve">tribution (DC) </w:t>
      </w:r>
      <w:r w:rsidR="008F7982" w:rsidRPr="003E540C">
        <w:rPr>
          <w:rFonts w:cs="Times New Roman"/>
          <w:szCs w:val="24"/>
          <w:lang w:val="en-GB"/>
        </w:rPr>
        <w:t xml:space="preserve">rule. </w:t>
      </w:r>
      <w:r w:rsidR="00AD5F12" w:rsidRPr="003E540C">
        <w:rPr>
          <w:rFonts w:cs="Times New Roman"/>
          <w:szCs w:val="24"/>
          <w:lang w:val="en-GB"/>
        </w:rPr>
        <w:t xml:space="preserve">Under </w:t>
      </w:r>
      <w:r w:rsidR="00CC30AF">
        <w:rPr>
          <w:rFonts w:cs="Times New Roman"/>
          <w:szCs w:val="24"/>
          <w:lang w:val="en-GB"/>
        </w:rPr>
        <w:t xml:space="preserve">the </w:t>
      </w:r>
      <w:r w:rsidR="00AD5F12" w:rsidRPr="003E540C">
        <w:rPr>
          <w:rFonts w:cs="Times New Roman"/>
          <w:szCs w:val="24"/>
          <w:lang w:val="en-GB"/>
        </w:rPr>
        <w:t xml:space="preserve">DC rule the individual </w:t>
      </w:r>
      <w:r w:rsidR="00A62F38" w:rsidRPr="003E540C">
        <w:rPr>
          <w:rFonts w:cs="Times New Roman"/>
          <w:szCs w:val="24"/>
          <w:lang w:val="en-GB"/>
        </w:rPr>
        <w:t>accounts</w:t>
      </w:r>
      <w:r w:rsidR="00AD5F12" w:rsidRPr="003E540C">
        <w:rPr>
          <w:rFonts w:cs="Times New Roman"/>
          <w:szCs w:val="24"/>
          <w:lang w:val="en-GB"/>
        </w:rPr>
        <w:t xml:space="preserve"> are set up for the participants, where the fixed contributions are transferred by employers and employees. </w:t>
      </w:r>
      <w:r w:rsidR="00A62F38" w:rsidRPr="003E540C">
        <w:rPr>
          <w:rFonts w:cs="Times New Roman"/>
          <w:szCs w:val="24"/>
          <w:lang w:val="en-GB"/>
        </w:rPr>
        <w:t xml:space="preserve">The future pension is calculated individually </w:t>
      </w:r>
      <w:r w:rsidR="002320CF" w:rsidRPr="003E540C">
        <w:rPr>
          <w:rFonts w:cs="Times New Roman"/>
          <w:szCs w:val="24"/>
          <w:lang w:val="en-GB"/>
        </w:rPr>
        <w:t xml:space="preserve">for each participant </w:t>
      </w:r>
      <w:r w:rsidR="00A62F38" w:rsidRPr="003E540C">
        <w:rPr>
          <w:rFonts w:cs="Times New Roman"/>
          <w:szCs w:val="24"/>
          <w:lang w:val="en-GB"/>
        </w:rPr>
        <w:t>and depends solely on the value of accumulated receivables</w:t>
      </w:r>
      <w:r w:rsidR="002320CF" w:rsidRPr="003E540C">
        <w:rPr>
          <w:rFonts w:cs="Times New Roman"/>
          <w:szCs w:val="24"/>
          <w:lang w:val="en-GB"/>
        </w:rPr>
        <w:t xml:space="preserve"> increased by </w:t>
      </w:r>
      <w:r w:rsidR="005B1AF6" w:rsidRPr="003E540C">
        <w:rPr>
          <w:rFonts w:cs="Times New Roman"/>
          <w:szCs w:val="24"/>
          <w:lang w:val="en-GB"/>
        </w:rPr>
        <w:t xml:space="preserve">the </w:t>
      </w:r>
      <w:r w:rsidR="002320CF" w:rsidRPr="003E540C">
        <w:rPr>
          <w:rFonts w:cs="Times New Roman"/>
          <w:szCs w:val="24"/>
          <w:lang w:val="en-GB"/>
        </w:rPr>
        <w:t>rate of return. The receivables may be of non-financial (NDC) or financial character (FDC). In th</w:t>
      </w:r>
      <w:r w:rsidR="00C814AB">
        <w:rPr>
          <w:rFonts w:cs="Times New Roman"/>
          <w:szCs w:val="24"/>
          <w:lang w:val="en-GB"/>
        </w:rPr>
        <w:t>is paper we will focus on this part of the system</w:t>
      </w:r>
      <w:r w:rsidR="002320CF" w:rsidRPr="003E540C">
        <w:rPr>
          <w:rFonts w:cs="Times New Roman"/>
          <w:szCs w:val="24"/>
          <w:lang w:val="en-GB"/>
        </w:rPr>
        <w:t xml:space="preserve">, where the </w:t>
      </w:r>
      <w:r w:rsidR="008870D1" w:rsidRPr="003E540C">
        <w:rPr>
          <w:rFonts w:cs="Times New Roman"/>
          <w:szCs w:val="24"/>
          <w:lang w:val="en-GB"/>
        </w:rPr>
        <w:t>receivables</w:t>
      </w:r>
      <w:r w:rsidR="002320CF" w:rsidRPr="003E540C">
        <w:rPr>
          <w:rFonts w:cs="Times New Roman"/>
          <w:szCs w:val="24"/>
          <w:lang w:val="en-GB"/>
        </w:rPr>
        <w:t xml:space="preserve"> collected by future pensioners take the form of financial market instruments. </w:t>
      </w:r>
      <w:r w:rsidR="00A57DAF" w:rsidRPr="003E540C">
        <w:rPr>
          <w:rFonts w:cs="Times New Roman"/>
          <w:szCs w:val="24"/>
          <w:lang w:val="en-GB"/>
        </w:rPr>
        <w:t>Using the “pillars” terminology FDC refers to the second and th</w:t>
      </w:r>
      <w:r w:rsidR="005B1AF6" w:rsidRPr="003E540C">
        <w:rPr>
          <w:rFonts w:cs="Times New Roman"/>
          <w:szCs w:val="24"/>
          <w:lang w:val="en-GB"/>
        </w:rPr>
        <w:t>ird pillar. As the third pillar</w:t>
      </w:r>
      <w:r w:rsidR="00A57DAF" w:rsidRPr="003E540C">
        <w:rPr>
          <w:rFonts w:cs="Times New Roman"/>
          <w:szCs w:val="24"/>
          <w:lang w:val="en-GB"/>
        </w:rPr>
        <w:t xml:space="preserve"> plays rather the supplementary role, in this study we will employ data from the second pillar, which is usually mandatory.</w:t>
      </w:r>
      <w:r w:rsidR="00580864" w:rsidRPr="003E540C">
        <w:rPr>
          <w:rStyle w:val="Odwoanieprzypisudolnego"/>
          <w:rFonts w:cs="Times New Roman"/>
          <w:szCs w:val="24"/>
          <w:lang w:val="en-GB"/>
        </w:rPr>
        <w:footnoteReference w:id="2"/>
      </w:r>
      <w:r w:rsidR="00A57DAF" w:rsidRPr="003E540C">
        <w:rPr>
          <w:rFonts w:cs="Times New Roman"/>
          <w:szCs w:val="24"/>
          <w:lang w:val="en-GB"/>
        </w:rPr>
        <w:t xml:space="preserve"> </w:t>
      </w:r>
      <w:r w:rsidR="005B1AF6" w:rsidRPr="003E540C">
        <w:rPr>
          <w:rFonts w:cs="Times New Roman"/>
          <w:szCs w:val="24"/>
          <w:lang w:val="en-GB"/>
        </w:rPr>
        <w:t>Hence, i</w:t>
      </w:r>
      <w:r w:rsidR="00A57DAF" w:rsidRPr="003E540C">
        <w:rPr>
          <w:rFonts w:cs="Times New Roman"/>
          <w:szCs w:val="24"/>
          <w:lang w:val="en-GB"/>
        </w:rPr>
        <w:t>n this work we define the second pillar as the one that follows the FDC rule</w:t>
      </w:r>
      <w:r w:rsidR="00580864" w:rsidRPr="003E540C">
        <w:rPr>
          <w:rFonts w:cs="Times New Roman"/>
          <w:szCs w:val="24"/>
          <w:lang w:val="en-GB"/>
        </w:rPr>
        <w:t xml:space="preserve"> and is obligatory in its nature</w:t>
      </w:r>
      <w:r w:rsidR="00A57DAF" w:rsidRPr="003E540C">
        <w:rPr>
          <w:rFonts w:cs="Times New Roman"/>
          <w:szCs w:val="24"/>
          <w:lang w:val="en-GB"/>
        </w:rPr>
        <w:t>.</w:t>
      </w:r>
      <w:r w:rsidR="00A57DAF" w:rsidRPr="003E540C">
        <w:rPr>
          <w:rStyle w:val="Odwoanieprzypisudolnego"/>
          <w:rFonts w:cs="Times New Roman"/>
          <w:szCs w:val="24"/>
          <w:lang w:val="en-GB"/>
        </w:rPr>
        <w:footnoteReference w:id="3"/>
      </w:r>
    </w:p>
    <w:p w:rsidR="005B4325" w:rsidRPr="003E540C" w:rsidRDefault="002E61F3" w:rsidP="009539C0">
      <w:pPr>
        <w:spacing w:line="480" w:lineRule="auto"/>
        <w:rPr>
          <w:rFonts w:cs="Times New Roman"/>
          <w:szCs w:val="24"/>
          <w:lang w:val="en-GB"/>
        </w:rPr>
      </w:pPr>
      <w:r w:rsidRPr="003E540C">
        <w:rPr>
          <w:rFonts w:cs="Times New Roman"/>
          <w:szCs w:val="24"/>
          <w:lang w:val="en-GB"/>
        </w:rPr>
        <w:tab/>
        <w:t>Second pillar is usual</w:t>
      </w:r>
      <w:r w:rsidR="00F2494B" w:rsidRPr="003E540C">
        <w:rPr>
          <w:rFonts w:cs="Times New Roman"/>
          <w:szCs w:val="24"/>
          <w:lang w:val="en-GB"/>
        </w:rPr>
        <w:t xml:space="preserve">ly privately managed. </w:t>
      </w:r>
      <w:r w:rsidR="00511383" w:rsidRPr="003E540C">
        <w:rPr>
          <w:rFonts w:cs="Times New Roman"/>
          <w:szCs w:val="24"/>
          <w:lang w:val="en-GB"/>
        </w:rPr>
        <w:t xml:space="preserve">As the investment target is of special </w:t>
      </w:r>
      <w:r w:rsidR="00577672" w:rsidRPr="003E540C">
        <w:rPr>
          <w:rFonts w:cs="Times New Roman"/>
          <w:szCs w:val="24"/>
          <w:lang w:val="en-GB"/>
        </w:rPr>
        <w:t xml:space="preserve">social </w:t>
      </w:r>
      <w:r w:rsidR="00511383" w:rsidRPr="003E540C">
        <w:rPr>
          <w:rFonts w:cs="Times New Roman"/>
          <w:szCs w:val="24"/>
          <w:lang w:val="en-GB"/>
        </w:rPr>
        <w:t>impo</w:t>
      </w:r>
      <w:r w:rsidR="00577672" w:rsidRPr="003E540C">
        <w:rPr>
          <w:rFonts w:cs="Times New Roman"/>
          <w:szCs w:val="24"/>
          <w:lang w:val="en-GB"/>
        </w:rPr>
        <w:t xml:space="preserve">rtance </w:t>
      </w:r>
      <w:r w:rsidR="00511383" w:rsidRPr="003E540C">
        <w:rPr>
          <w:rFonts w:cs="Times New Roman"/>
          <w:szCs w:val="24"/>
          <w:lang w:val="en-GB"/>
        </w:rPr>
        <w:t>i</w:t>
      </w:r>
      <w:r w:rsidR="00577672" w:rsidRPr="003E540C">
        <w:rPr>
          <w:rFonts w:cs="Times New Roman"/>
          <w:szCs w:val="24"/>
          <w:lang w:val="en-GB"/>
        </w:rPr>
        <w:t>t is no surprising that pension funds</w:t>
      </w:r>
      <w:r w:rsidR="00134A6F">
        <w:rPr>
          <w:rFonts w:cs="Times New Roman"/>
          <w:szCs w:val="24"/>
          <w:lang w:val="en-GB"/>
        </w:rPr>
        <w:t>’</w:t>
      </w:r>
      <w:r w:rsidR="00F2494B" w:rsidRPr="003E540C">
        <w:rPr>
          <w:rFonts w:cs="Times New Roman"/>
          <w:szCs w:val="24"/>
          <w:lang w:val="en-GB"/>
        </w:rPr>
        <w:t xml:space="preserve"> investment policy is heavily regulated. On</w:t>
      </w:r>
      <w:r w:rsidR="00511383" w:rsidRPr="003E540C">
        <w:rPr>
          <w:rFonts w:cs="Times New Roman"/>
          <w:szCs w:val="24"/>
          <w:lang w:val="en-GB"/>
        </w:rPr>
        <w:t>e</w:t>
      </w:r>
      <w:r w:rsidR="00F2494B" w:rsidRPr="003E540C">
        <w:rPr>
          <w:rFonts w:cs="Times New Roman"/>
          <w:szCs w:val="24"/>
          <w:lang w:val="en-GB"/>
        </w:rPr>
        <w:t xml:space="preserve"> of the most important regulation applies to the imposed investments limits established mainly to ensure enough diversification of pension savings portfolios. </w:t>
      </w:r>
      <w:r w:rsidR="00511383" w:rsidRPr="003E540C">
        <w:rPr>
          <w:rFonts w:cs="Times New Roman"/>
          <w:szCs w:val="24"/>
          <w:lang w:val="en-GB"/>
        </w:rPr>
        <w:t>However, the objective of the established investment restriction</w:t>
      </w:r>
      <w:r w:rsidR="00564DE7" w:rsidRPr="003E540C">
        <w:rPr>
          <w:rFonts w:cs="Times New Roman"/>
          <w:szCs w:val="24"/>
          <w:lang w:val="en-GB"/>
        </w:rPr>
        <w:t>s</w:t>
      </w:r>
      <w:r w:rsidR="00511383" w:rsidRPr="003E540C">
        <w:rPr>
          <w:rFonts w:cs="Times New Roman"/>
          <w:szCs w:val="24"/>
          <w:lang w:val="en-GB"/>
        </w:rPr>
        <w:t xml:space="preserve"> may not be the risk </w:t>
      </w:r>
      <w:r w:rsidR="00564DE7" w:rsidRPr="003E540C">
        <w:rPr>
          <w:rFonts w:cs="Times New Roman"/>
          <w:szCs w:val="24"/>
          <w:lang w:val="en-GB"/>
        </w:rPr>
        <w:t xml:space="preserve">reduction solely. </w:t>
      </w:r>
    </w:p>
    <w:p w:rsidR="009E1781" w:rsidRPr="003E540C" w:rsidRDefault="00564DE7" w:rsidP="005B4325">
      <w:pPr>
        <w:spacing w:line="480" w:lineRule="auto"/>
        <w:ind w:firstLine="708"/>
        <w:rPr>
          <w:rFonts w:cs="Times New Roman"/>
          <w:szCs w:val="24"/>
          <w:lang w:val="en-GB"/>
        </w:rPr>
      </w:pPr>
      <w:r w:rsidRPr="003E540C">
        <w:rPr>
          <w:rFonts w:cs="Times New Roman"/>
          <w:szCs w:val="24"/>
          <w:lang w:val="en-GB"/>
        </w:rPr>
        <w:lastRenderedPageBreak/>
        <w:t>Pension funds</w:t>
      </w:r>
      <w:r w:rsidR="00511383" w:rsidRPr="003E540C">
        <w:rPr>
          <w:rFonts w:cs="Times New Roman"/>
          <w:szCs w:val="24"/>
          <w:lang w:val="en-GB"/>
        </w:rPr>
        <w:t xml:space="preserve"> manage large pool of funds and their demand for securities may be of crucial importance for the development of the local financial markets. On the other hand, if </w:t>
      </w:r>
      <w:r w:rsidR="00E7211F">
        <w:rPr>
          <w:rFonts w:cs="Times New Roman"/>
          <w:szCs w:val="24"/>
          <w:lang w:val="en-GB"/>
        </w:rPr>
        <w:t>an</w:t>
      </w:r>
      <w:r w:rsidR="00511383" w:rsidRPr="003E540C">
        <w:rPr>
          <w:rFonts w:cs="Times New Roman"/>
          <w:szCs w:val="24"/>
          <w:lang w:val="en-GB"/>
        </w:rPr>
        <w:t xml:space="preserve"> increase in </w:t>
      </w:r>
      <w:r w:rsidR="009E1781" w:rsidRPr="003E540C">
        <w:rPr>
          <w:rFonts w:cs="Times New Roman"/>
          <w:szCs w:val="24"/>
          <w:lang w:val="en-GB"/>
        </w:rPr>
        <w:t xml:space="preserve">the securities supply </w:t>
      </w:r>
      <w:r w:rsidR="00511383" w:rsidRPr="003E540C">
        <w:rPr>
          <w:rFonts w:cs="Times New Roman"/>
          <w:szCs w:val="24"/>
          <w:lang w:val="en-GB"/>
        </w:rPr>
        <w:t>is not as rapid as</w:t>
      </w:r>
      <w:r w:rsidR="00E7211F">
        <w:rPr>
          <w:rFonts w:cs="Times New Roman"/>
          <w:szCs w:val="24"/>
          <w:lang w:val="en-GB"/>
        </w:rPr>
        <w:t xml:space="preserve"> an</w:t>
      </w:r>
      <w:r w:rsidR="00511383" w:rsidRPr="003E540C">
        <w:rPr>
          <w:rFonts w:cs="Times New Roman"/>
          <w:szCs w:val="24"/>
          <w:lang w:val="en-GB"/>
        </w:rPr>
        <w:t xml:space="preserve"> increase in</w:t>
      </w:r>
      <w:r w:rsidR="00E7211F">
        <w:rPr>
          <w:rFonts w:cs="Times New Roman"/>
          <w:szCs w:val="24"/>
          <w:lang w:val="en-GB"/>
        </w:rPr>
        <w:t xml:space="preserve"> the</w:t>
      </w:r>
      <w:r w:rsidR="00511383" w:rsidRPr="003E540C">
        <w:rPr>
          <w:rFonts w:cs="Times New Roman"/>
          <w:szCs w:val="24"/>
          <w:lang w:val="en-GB"/>
        </w:rPr>
        <w:t xml:space="preserve"> demand from the pension sector, the excessive demand may </w:t>
      </w:r>
      <w:r w:rsidR="00577672" w:rsidRPr="003E540C">
        <w:rPr>
          <w:rFonts w:cs="Times New Roman"/>
          <w:szCs w:val="24"/>
          <w:lang w:val="en-GB"/>
        </w:rPr>
        <w:t>create</w:t>
      </w:r>
      <w:r w:rsidR="00511383" w:rsidRPr="003E540C">
        <w:rPr>
          <w:rFonts w:cs="Times New Roman"/>
          <w:szCs w:val="24"/>
          <w:lang w:val="en-GB"/>
        </w:rPr>
        <w:t xml:space="preserve"> the asset bubble. </w:t>
      </w:r>
      <w:r w:rsidR="009E1781" w:rsidRPr="003E540C">
        <w:rPr>
          <w:rFonts w:cs="Times New Roman"/>
          <w:szCs w:val="24"/>
          <w:lang w:val="en-GB"/>
        </w:rPr>
        <w:t xml:space="preserve">Surprisingly, this issue in case of the emerging economies seems to be overemphasized as the empirical research does not support this view. </w:t>
      </w:r>
      <w:r w:rsidR="00C61D7D" w:rsidRPr="003E540C">
        <w:rPr>
          <w:rFonts w:cs="Times New Roman"/>
          <w:szCs w:val="24"/>
          <w:lang w:val="en-GB"/>
        </w:rPr>
        <w:t xml:space="preserve">Verifying </w:t>
      </w:r>
      <w:r w:rsidR="009E1781" w:rsidRPr="003E540C">
        <w:rPr>
          <w:rFonts w:cs="Times New Roman"/>
          <w:szCs w:val="24"/>
          <w:lang w:val="en-GB"/>
        </w:rPr>
        <w:t>th</w:t>
      </w:r>
      <w:r w:rsidR="00C61D7D" w:rsidRPr="003E540C">
        <w:rPr>
          <w:rFonts w:cs="Times New Roman"/>
          <w:szCs w:val="24"/>
          <w:lang w:val="en-GB"/>
        </w:rPr>
        <w:t>is</w:t>
      </w:r>
      <w:r w:rsidR="009E1781" w:rsidRPr="003E540C">
        <w:rPr>
          <w:rFonts w:cs="Times New Roman"/>
          <w:szCs w:val="24"/>
          <w:lang w:val="en-GB"/>
        </w:rPr>
        <w:t xml:space="preserve"> relationship in </w:t>
      </w:r>
      <w:r w:rsidR="00C61D7D" w:rsidRPr="003E540C">
        <w:rPr>
          <w:rFonts w:cs="Times New Roman"/>
          <w:szCs w:val="24"/>
          <w:lang w:val="en-GB"/>
        </w:rPr>
        <w:t xml:space="preserve">case of </w:t>
      </w:r>
      <w:r w:rsidR="009E1781" w:rsidRPr="003E540C">
        <w:rPr>
          <w:rFonts w:cs="Times New Roman"/>
          <w:szCs w:val="24"/>
          <w:lang w:val="en-GB"/>
        </w:rPr>
        <w:t>Poland</w:t>
      </w:r>
      <w:r w:rsidR="00C61D7D" w:rsidRPr="003E540C">
        <w:rPr>
          <w:rFonts w:cs="Times New Roman"/>
          <w:szCs w:val="24"/>
          <w:lang w:val="en-GB"/>
        </w:rPr>
        <w:t>,</w:t>
      </w:r>
      <w:r w:rsidR="009E1781" w:rsidRPr="003E540C">
        <w:rPr>
          <w:rFonts w:cs="Times New Roman"/>
          <w:szCs w:val="24"/>
          <w:lang w:val="en-GB"/>
        </w:rPr>
        <w:t xml:space="preserve"> </w:t>
      </w:r>
      <w:proofErr w:type="spellStart"/>
      <w:r w:rsidR="009E1781" w:rsidRPr="003E540C">
        <w:rPr>
          <w:rFonts w:cs="Times New Roman"/>
          <w:szCs w:val="24"/>
          <w:lang w:val="en-GB"/>
        </w:rPr>
        <w:t>Voronkova</w:t>
      </w:r>
      <w:proofErr w:type="spellEnd"/>
      <w:r w:rsidR="009E1781" w:rsidRPr="003E540C">
        <w:rPr>
          <w:rFonts w:cs="Times New Roman"/>
          <w:szCs w:val="24"/>
          <w:lang w:val="en-GB"/>
        </w:rPr>
        <w:t xml:space="preserve"> and </w:t>
      </w:r>
      <w:proofErr w:type="spellStart"/>
      <w:r w:rsidR="009E1781" w:rsidRPr="003E540C">
        <w:rPr>
          <w:rFonts w:cs="Times New Roman"/>
          <w:szCs w:val="24"/>
          <w:lang w:val="en-GB"/>
        </w:rPr>
        <w:t>Bohl</w:t>
      </w:r>
      <w:proofErr w:type="spellEnd"/>
      <w:r w:rsidR="009E1781" w:rsidRPr="003E540C">
        <w:rPr>
          <w:rFonts w:cs="Times New Roman"/>
          <w:szCs w:val="24"/>
          <w:lang w:val="en-GB"/>
        </w:rPr>
        <w:t xml:space="preserve"> (2003) did not confirm the hypothesis that pension funds trading may significantly a</w:t>
      </w:r>
      <w:r w:rsidR="00C61D7D" w:rsidRPr="003E540C">
        <w:rPr>
          <w:rFonts w:cs="Times New Roman"/>
          <w:szCs w:val="24"/>
          <w:lang w:val="en-GB"/>
        </w:rPr>
        <w:t xml:space="preserve">ffect security prices. Also contrary to the intuitive reasoning </w:t>
      </w:r>
      <w:r w:rsidR="009E1781" w:rsidRPr="003E540C">
        <w:rPr>
          <w:rFonts w:cs="Times New Roman"/>
          <w:szCs w:val="24"/>
          <w:lang w:val="en-GB"/>
        </w:rPr>
        <w:t xml:space="preserve">Walker and </w:t>
      </w:r>
      <w:proofErr w:type="spellStart"/>
      <w:r w:rsidR="009E1781" w:rsidRPr="003E540C">
        <w:rPr>
          <w:rFonts w:cs="Times New Roman"/>
          <w:szCs w:val="24"/>
          <w:lang w:val="en-GB"/>
        </w:rPr>
        <w:t>Lefort</w:t>
      </w:r>
      <w:proofErr w:type="spellEnd"/>
      <w:r w:rsidR="009E1781" w:rsidRPr="003E540C">
        <w:rPr>
          <w:rFonts w:cs="Times New Roman"/>
          <w:szCs w:val="24"/>
          <w:lang w:val="en-GB"/>
        </w:rPr>
        <w:t xml:space="preserve"> (2002) actually proved that pension funds had a stabilizing effect on security prices across a sample of 33 emerging countries. </w:t>
      </w:r>
      <w:r w:rsidR="00C61D7D" w:rsidRPr="003E540C">
        <w:rPr>
          <w:rFonts w:cs="Times New Roman"/>
          <w:szCs w:val="24"/>
          <w:lang w:val="en-GB"/>
        </w:rPr>
        <w:t xml:space="preserve">Some explanation of these unexpected results can be found in </w:t>
      </w:r>
      <w:proofErr w:type="spellStart"/>
      <w:r w:rsidR="009E1781" w:rsidRPr="003E540C">
        <w:rPr>
          <w:rFonts w:cs="Times New Roman"/>
          <w:szCs w:val="24"/>
          <w:lang w:val="en-GB"/>
        </w:rPr>
        <w:t>Bebczuk</w:t>
      </w:r>
      <w:proofErr w:type="spellEnd"/>
      <w:r w:rsidR="009E1781" w:rsidRPr="003E540C">
        <w:rPr>
          <w:rFonts w:cs="Times New Roman"/>
          <w:szCs w:val="24"/>
          <w:lang w:val="en-GB"/>
        </w:rPr>
        <w:t xml:space="preserve"> and </w:t>
      </w:r>
      <w:proofErr w:type="spellStart"/>
      <w:r w:rsidR="009E1781" w:rsidRPr="003E540C">
        <w:rPr>
          <w:rFonts w:cs="Times New Roman"/>
          <w:szCs w:val="24"/>
          <w:lang w:val="en-GB"/>
        </w:rPr>
        <w:t>Musalem</w:t>
      </w:r>
      <w:proofErr w:type="spellEnd"/>
      <w:r w:rsidR="009E1781" w:rsidRPr="003E540C">
        <w:rPr>
          <w:rFonts w:cs="Times New Roman"/>
          <w:szCs w:val="24"/>
          <w:lang w:val="en-GB"/>
        </w:rPr>
        <w:t xml:space="preserve"> (2009)</w:t>
      </w:r>
      <w:r w:rsidR="00E7211F">
        <w:rPr>
          <w:rFonts w:cs="Times New Roman"/>
          <w:szCs w:val="24"/>
          <w:lang w:val="en-GB"/>
        </w:rPr>
        <w:t xml:space="preserve">. </w:t>
      </w:r>
      <w:r w:rsidR="00C61D7D" w:rsidRPr="003E540C">
        <w:rPr>
          <w:rFonts w:cs="Times New Roman"/>
          <w:szCs w:val="24"/>
          <w:lang w:val="en-GB"/>
        </w:rPr>
        <w:t xml:space="preserve">They </w:t>
      </w:r>
      <w:r w:rsidR="009E1781" w:rsidRPr="003E540C">
        <w:rPr>
          <w:rFonts w:cs="Times New Roman"/>
          <w:szCs w:val="24"/>
          <w:lang w:val="en-GB"/>
        </w:rPr>
        <w:t>concluded that even though pension fund</w:t>
      </w:r>
      <w:r w:rsidR="00E7211F">
        <w:rPr>
          <w:rFonts w:cs="Times New Roman"/>
          <w:szCs w:val="24"/>
          <w:lang w:val="en-GB"/>
        </w:rPr>
        <w:t>s’</w:t>
      </w:r>
      <w:r w:rsidR="009E1781" w:rsidRPr="003E540C">
        <w:rPr>
          <w:rFonts w:cs="Times New Roman"/>
          <w:szCs w:val="24"/>
          <w:lang w:val="en-GB"/>
        </w:rPr>
        <w:t xml:space="preserve"> assets in </w:t>
      </w:r>
      <w:r w:rsidR="009E73D7" w:rsidRPr="003E540C">
        <w:rPr>
          <w:rFonts w:cs="Times New Roman"/>
          <w:szCs w:val="24"/>
          <w:lang w:val="en-GB"/>
        </w:rPr>
        <w:t xml:space="preserve">the </w:t>
      </w:r>
      <w:r w:rsidR="009E1781" w:rsidRPr="003E540C">
        <w:rPr>
          <w:rFonts w:cs="Times New Roman"/>
          <w:szCs w:val="24"/>
          <w:lang w:val="en-GB"/>
        </w:rPr>
        <w:t>emerging countries were growing relatively to the size of their financial markets</w:t>
      </w:r>
      <w:r w:rsidR="00E7211F">
        <w:rPr>
          <w:rFonts w:cs="Times New Roman"/>
          <w:szCs w:val="24"/>
          <w:lang w:val="en-GB"/>
        </w:rPr>
        <w:t>,</w:t>
      </w:r>
      <w:r w:rsidR="009E1781" w:rsidRPr="003E540C">
        <w:rPr>
          <w:rFonts w:cs="Times New Roman"/>
          <w:szCs w:val="24"/>
          <w:lang w:val="en-GB"/>
        </w:rPr>
        <w:t xml:space="preserve"> the average share of pension fund assets in the sum of market capitalization and bank deposits amounted to 16,0 percent in the emerging countries and 21,7 percent in </w:t>
      </w:r>
      <w:r w:rsidR="00134A6F">
        <w:rPr>
          <w:rFonts w:cs="Times New Roman"/>
          <w:szCs w:val="24"/>
          <w:lang w:val="en-GB"/>
        </w:rPr>
        <w:t xml:space="preserve">the </w:t>
      </w:r>
      <w:r w:rsidR="009E1781" w:rsidRPr="003E540C">
        <w:rPr>
          <w:rFonts w:cs="Times New Roman"/>
          <w:szCs w:val="24"/>
          <w:lang w:val="en-GB"/>
        </w:rPr>
        <w:t>developed countries in 2006–07 years.</w:t>
      </w:r>
    </w:p>
    <w:p w:rsidR="005B4325" w:rsidRPr="003E540C" w:rsidRDefault="005B4325" w:rsidP="005B4325">
      <w:pPr>
        <w:spacing w:line="480" w:lineRule="auto"/>
        <w:ind w:firstLine="708"/>
        <w:rPr>
          <w:rFonts w:cs="Times New Roman"/>
          <w:szCs w:val="24"/>
          <w:lang w:val="en-GB"/>
        </w:rPr>
      </w:pPr>
      <w:r w:rsidRPr="003E540C">
        <w:rPr>
          <w:rFonts w:cs="Times New Roman"/>
          <w:szCs w:val="24"/>
          <w:lang w:val="en-GB"/>
        </w:rPr>
        <w:t>Perhaps the more probable macroeconomic consequence of pension funds sudden shift toward</w:t>
      </w:r>
      <w:r w:rsidR="005E26E6">
        <w:rPr>
          <w:rFonts w:cs="Times New Roman"/>
          <w:szCs w:val="24"/>
          <w:lang w:val="en-GB"/>
        </w:rPr>
        <w:t>s</w:t>
      </w:r>
      <w:r w:rsidRPr="003E540C">
        <w:rPr>
          <w:rFonts w:cs="Times New Roman"/>
          <w:szCs w:val="24"/>
          <w:lang w:val="en-GB"/>
        </w:rPr>
        <w:t xml:space="preserve"> foreign assets may be </w:t>
      </w:r>
      <w:r w:rsidR="008479D5" w:rsidRPr="003E540C">
        <w:rPr>
          <w:rFonts w:cs="Times New Roman"/>
          <w:szCs w:val="24"/>
          <w:lang w:val="en-GB"/>
        </w:rPr>
        <w:t xml:space="preserve">the </w:t>
      </w:r>
      <w:r w:rsidRPr="003E540C">
        <w:rPr>
          <w:rFonts w:cs="Times New Roman"/>
          <w:szCs w:val="24"/>
          <w:lang w:val="en-GB"/>
        </w:rPr>
        <w:t xml:space="preserve">exchange rate depreciation. </w:t>
      </w:r>
      <w:proofErr w:type="spellStart"/>
      <w:r w:rsidRPr="003E540C">
        <w:rPr>
          <w:rFonts w:cs="Times New Roman"/>
          <w:szCs w:val="24"/>
          <w:lang w:val="en-GB"/>
        </w:rPr>
        <w:t>Roldos</w:t>
      </w:r>
      <w:proofErr w:type="spellEnd"/>
      <w:r w:rsidRPr="003E540C">
        <w:rPr>
          <w:rFonts w:cs="Times New Roman"/>
          <w:szCs w:val="24"/>
          <w:lang w:val="en-GB"/>
        </w:rPr>
        <w:t xml:space="preserve"> (2004) noted this effect was observed in Chile (20% depreciation of peso) </w:t>
      </w:r>
      <w:r w:rsidR="008479D5" w:rsidRPr="003E540C">
        <w:rPr>
          <w:rFonts w:cs="Times New Roman"/>
          <w:szCs w:val="24"/>
          <w:lang w:val="en-GB"/>
        </w:rPr>
        <w:t>after increasing the limit fro</w:t>
      </w:r>
      <w:r w:rsidRPr="003E540C">
        <w:rPr>
          <w:rFonts w:cs="Times New Roman"/>
          <w:szCs w:val="24"/>
          <w:lang w:val="en-GB"/>
        </w:rPr>
        <w:t xml:space="preserve">m 2% by end-1997 to 12 percent by end-1999 and in Canada (10 percent depreciation of the Canadian dollar), where the limit was raised by 10 percentage points to overall 30% share in the period from January 2000 to January 2002. </w:t>
      </w:r>
      <w:r w:rsidR="008479D5" w:rsidRPr="003E540C">
        <w:rPr>
          <w:rFonts w:cs="Times New Roman"/>
          <w:szCs w:val="24"/>
          <w:lang w:val="en-GB"/>
        </w:rPr>
        <w:t xml:space="preserve">Carmona (2006) states that the depreciation effect occurred also in case of </w:t>
      </w:r>
      <w:r w:rsidR="00E7211F">
        <w:rPr>
          <w:rFonts w:cs="Times New Roman"/>
          <w:szCs w:val="24"/>
          <w:lang w:val="en-GB"/>
        </w:rPr>
        <w:t xml:space="preserve">Peru </w:t>
      </w:r>
      <w:r w:rsidR="008479D5" w:rsidRPr="003E540C">
        <w:rPr>
          <w:rFonts w:cs="Times New Roman"/>
          <w:szCs w:val="24"/>
          <w:lang w:val="en-GB"/>
        </w:rPr>
        <w:t xml:space="preserve">in 2005. </w:t>
      </w:r>
    </w:p>
    <w:p w:rsidR="00511383" w:rsidRPr="003E540C" w:rsidRDefault="00511383" w:rsidP="0081354A">
      <w:pPr>
        <w:spacing w:line="480" w:lineRule="auto"/>
        <w:ind w:firstLine="708"/>
        <w:rPr>
          <w:rFonts w:cs="Times New Roman"/>
          <w:szCs w:val="24"/>
          <w:lang w:val="en-GB"/>
        </w:rPr>
      </w:pPr>
      <w:r w:rsidRPr="003E540C">
        <w:rPr>
          <w:rFonts w:cs="Times New Roman"/>
          <w:szCs w:val="24"/>
          <w:lang w:val="en-GB"/>
        </w:rPr>
        <w:lastRenderedPageBreak/>
        <w:t>Therefore</w:t>
      </w:r>
      <w:r w:rsidR="009E73D7" w:rsidRPr="003E540C">
        <w:rPr>
          <w:rFonts w:cs="Times New Roman"/>
          <w:szCs w:val="24"/>
          <w:lang w:val="en-GB"/>
        </w:rPr>
        <w:t>,</w:t>
      </w:r>
      <w:r w:rsidR="008479D5" w:rsidRPr="003E540C">
        <w:rPr>
          <w:rFonts w:cs="Times New Roman"/>
          <w:szCs w:val="24"/>
          <w:lang w:val="en-GB"/>
        </w:rPr>
        <w:t xml:space="preserve"> government needs to balance various </w:t>
      </w:r>
      <w:r w:rsidR="0081354A" w:rsidRPr="003E540C">
        <w:rPr>
          <w:rFonts w:cs="Times New Roman"/>
          <w:szCs w:val="24"/>
          <w:lang w:val="en-GB"/>
        </w:rPr>
        <w:t xml:space="preserve">consequences while establishing the limits for </w:t>
      </w:r>
      <w:r w:rsidR="008479D5" w:rsidRPr="003E540C">
        <w:rPr>
          <w:rFonts w:cs="Times New Roman"/>
          <w:szCs w:val="24"/>
          <w:lang w:val="en-GB"/>
        </w:rPr>
        <w:t>pension funds foreign activity. Consequently</w:t>
      </w:r>
      <w:r w:rsidRPr="003E540C">
        <w:rPr>
          <w:rFonts w:cs="Times New Roman"/>
          <w:szCs w:val="24"/>
          <w:lang w:val="en-GB"/>
        </w:rPr>
        <w:t xml:space="preserve">, the </w:t>
      </w:r>
      <w:r w:rsidR="00577672" w:rsidRPr="003E540C">
        <w:rPr>
          <w:rFonts w:cs="Times New Roman"/>
          <w:szCs w:val="24"/>
          <w:lang w:val="en-GB"/>
        </w:rPr>
        <w:t>regulations</w:t>
      </w:r>
      <w:r w:rsidRPr="003E540C">
        <w:rPr>
          <w:rFonts w:cs="Times New Roman"/>
          <w:szCs w:val="24"/>
          <w:lang w:val="en-GB"/>
        </w:rPr>
        <w:t xml:space="preserve"> </w:t>
      </w:r>
      <w:r w:rsidR="0081354A" w:rsidRPr="003E540C">
        <w:rPr>
          <w:rFonts w:cs="Times New Roman"/>
          <w:szCs w:val="24"/>
          <w:lang w:val="en-GB"/>
        </w:rPr>
        <w:t xml:space="preserve">vary </w:t>
      </w:r>
      <w:r w:rsidRPr="003E540C">
        <w:rPr>
          <w:rFonts w:cs="Times New Roman"/>
          <w:szCs w:val="24"/>
          <w:lang w:val="en-GB"/>
        </w:rPr>
        <w:t>significantly</w:t>
      </w:r>
      <w:r w:rsidR="00577672" w:rsidRPr="003E540C">
        <w:rPr>
          <w:rFonts w:cs="Times New Roman"/>
          <w:szCs w:val="24"/>
          <w:lang w:val="en-GB"/>
        </w:rPr>
        <w:t xml:space="preserve"> across the countries</w:t>
      </w:r>
      <w:r w:rsidRPr="003E540C">
        <w:rPr>
          <w:rFonts w:cs="Times New Roman"/>
          <w:szCs w:val="24"/>
          <w:lang w:val="en-GB"/>
        </w:rPr>
        <w:t>:</w:t>
      </w:r>
    </w:p>
    <w:p w:rsidR="0081354A" w:rsidRPr="004F7BAE" w:rsidRDefault="004F7BAE" w:rsidP="004F7BAE">
      <w:pPr>
        <w:jc w:val="center"/>
        <w:rPr>
          <w:rFonts w:cs="Times New Roman"/>
          <w:szCs w:val="24"/>
          <w:lang w:val="en-GB"/>
        </w:rPr>
      </w:pPr>
      <w:r w:rsidRPr="004F7BAE">
        <w:rPr>
          <w:rFonts w:cs="Times New Roman"/>
          <w:szCs w:val="24"/>
          <w:lang w:val="en-GB"/>
        </w:rPr>
        <w:t>[Insert Table 1. here]</w:t>
      </w:r>
    </w:p>
    <w:p w:rsidR="0002288B" w:rsidRPr="003E540C" w:rsidRDefault="0002288B" w:rsidP="00577672">
      <w:pPr>
        <w:rPr>
          <w:rFonts w:cs="Times New Roman"/>
          <w:szCs w:val="24"/>
          <w:lang w:val="en-GB"/>
        </w:rPr>
      </w:pPr>
    </w:p>
    <w:p w:rsidR="003845DB" w:rsidRPr="003E540C" w:rsidRDefault="00215775" w:rsidP="003845DB">
      <w:pPr>
        <w:spacing w:line="480" w:lineRule="auto"/>
        <w:rPr>
          <w:rFonts w:cs="Times New Roman"/>
          <w:szCs w:val="24"/>
          <w:lang w:val="en-GB"/>
        </w:rPr>
      </w:pPr>
      <w:r w:rsidRPr="003E540C">
        <w:rPr>
          <w:rFonts w:cs="Times New Roman"/>
          <w:szCs w:val="24"/>
          <w:lang w:val="en-GB"/>
        </w:rPr>
        <w:tab/>
        <w:t xml:space="preserve">In this </w:t>
      </w:r>
      <w:r w:rsidR="00BA1AC5" w:rsidRPr="003E540C">
        <w:rPr>
          <w:rFonts w:cs="Times New Roman"/>
          <w:szCs w:val="24"/>
          <w:lang w:val="en-GB"/>
        </w:rPr>
        <w:t>paper</w:t>
      </w:r>
      <w:r w:rsidRPr="003E540C">
        <w:rPr>
          <w:rFonts w:cs="Times New Roman"/>
          <w:szCs w:val="24"/>
          <w:lang w:val="en-GB"/>
        </w:rPr>
        <w:t xml:space="preserve"> we will not develop the area of macroeconomic consequences of pension fund</w:t>
      </w:r>
      <w:r w:rsidR="00BA1AC5" w:rsidRPr="003E540C">
        <w:rPr>
          <w:rFonts w:cs="Times New Roman"/>
          <w:szCs w:val="24"/>
          <w:lang w:val="en-GB"/>
        </w:rPr>
        <w:t>s foreign activity, leaving this broad question for further research.</w:t>
      </w:r>
      <w:r w:rsidRPr="003E540C">
        <w:rPr>
          <w:rFonts w:cs="Times New Roman"/>
          <w:szCs w:val="24"/>
          <w:lang w:val="en-GB"/>
        </w:rPr>
        <w:t xml:space="preserve"> </w:t>
      </w:r>
      <w:r w:rsidR="00BA1AC5" w:rsidRPr="003E540C">
        <w:rPr>
          <w:rFonts w:cs="Times New Roman"/>
          <w:szCs w:val="24"/>
          <w:lang w:val="en-GB"/>
        </w:rPr>
        <w:t>Rather than,</w:t>
      </w:r>
      <w:r w:rsidRPr="003E540C">
        <w:rPr>
          <w:rFonts w:cs="Times New Roman"/>
          <w:szCs w:val="24"/>
          <w:lang w:val="en-GB"/>
        </w:rPr>
        <w:t xml:space="preserve"> we would like to </w:t>
      </w:r>
      <w:r w:rsidR="00BA1AC5" w:rsidRPr="003E540C">
        <w:rPr>
          <w:rFonts w:cs="Times New Roman"/>
          <w:szCs w:val="24"/>
          <w:lang w:val="en-GB"/>
        </w:rPr>
        <w:t>focus</w:t>
      </w:r>
      <w:r w:rsidRPr="003E540C">
        <w:rPr>
          <w:rFonts w:cs="Times New Roman"/>
          <w:szCs w:val="24"/>
          <w:lang w:val="en-GB"/>
        </w:rPr>
        <w:t xml:space="preserve"> on the </w:t>
      </w:r>
      <w:r w:rsidR="00BA1AC5" w:rsidRPr="003E540C">
        <w:rPr>
          <w:rFonts w:cs="Times New Roman"/>
          <w:szCs w:val="24"/>
          <w:lang w:val="en-GB"/>
        </w:rPr>
        <w:t>diversification properties of the pension funds</w:t>
      </w:r>
      <w:r w:rsidR="0002288B">
        <w:rPr>
          <w:rFonts w:cs="Times New Roman"/>
          <w:szCs w:val="24"/>
          <w:lang w:val="en-GB"/>
        </w:rPr>
        <w:t>’</w:t>
      </w:r>
      <w:r w:rsidR="00BA1AC5" w:rsidRPr="003E540C">
        <w:rPr>
          <w:rFonts w:cs="Times New Roman"/>
          <w:szCs w:val="24"/>
          <w:lang w:val="en-GB"/>
        </w:rPr>
        <w:t xml:space="preserve"> portfolios. Thus, this study represents mainly the perspective of the single pension system participant. We tend to realize this research objective by verifying the following hypothesis: in case of Polish Open Pension Funds (OPF) the observed weight of foreign assets is too low to achieve the maximum risk-reduction gains.</w:t>
      </w:r>
      <w:r w:rsidR="00D40C4F" w:rsidRPr="003E540C">
        <w:rPr>
          <w:rFonts w:cs="Times New Roman"/>
          <w:szCs w:val="24"/>
          <w:lang w:val="en-GB"/>
        </w:rPr>
        <w:t xml:space="preserve"> Two premises motivated us to formulate such </w:t>
      </w:r>
      <w:r w:rsidR="005E26E6">
        <w:rPr>
          <w:rFonts w:cs="Times New Roman"/>
          <w:szCs w:val="24"/>
          <w:lang w:val="en-GB"/>
        </w:rPr>
        <w:t xml:space="preserve">a </w:t>
      </w:r>
      <w:r w:rsidR="00D40C4F" w:rsidRPr="003E540C">
        <w:rPr>
          <w:rFonts w:cs="Times New Roman"/>
          <w:szCs w:val="24"/>
          <w:lang w:val="en-GB"/>
        </w:rPr>
        <w:t>hypothesis. First of all</w:t>
      </w:r>
      <w:r w:rsidR="00042C6C">
        <w:rPr>
          <w:rFonts w:cs="Times New Roman"/>
          <w:szCs w:val="24"/>
          <w:lang w:val="en-GB"/>
        </w:rPr>
        <w:t>,</w:t>
      </w:r>
      <w:r w:rsidR="00D40C4F" w:rsidRPr="003E540C">
        <w:rPr>
          <w:rFonts w:cs="Times New Roman"/>
          <w:szCs w:val="24"/>
          <w:lang w:val="en-GB"/>
        </w:rPr>
        <w:t xml:space="preserve"> </w:t>
      </w:r>
      <w:r w:rsidR="009554EF" w:rsidRPr="003E540C">
        <w:rPr>
          <w:rFonts w:cs="Times New Roman"/>
          <w:szCs w:val="24"/>
          <w:lang w:val="en-GB"/>
        </w:rPr>
        <w:t>Poland</w:t>
      </w:r>
      <w:r w:rsidR="00D40C4F" w:rsidRPr="003E540C">
        <w:rPr>
          <w:rFonts w:cs="Times New Roman"/>
          <w:szCs w:val="24"/>
          <w:lang w:val="en-GB"/>
        </w:rPr>
        <w:t xml:space="preserve"> is the country with one of the most restrictive limits on foreign investment, so it is quite tempting if this constraint is really </w:t>
      </w:r>
      <w:r w:rsidR="00244DF8" w:rsidRPr="003E540C">
        <w:rPr>
          <w:rFonts w:cs="Times New Roman"/>
          <w:szCs w:val="24"/>
          <w:lang w:val="en-GB"/>
        </w:rPr>
        <w:t>harmful</w:t>
      </w:r>
      <w:r w:rsidR="00D40C4F" w:rsidRPr="003E540C">
        <w:rPr>
          <w:rFonts w:cs="Times New Roman"/>
          <w:szCs w:val="24"/>
          <w:lang w:val="en-GB"/>
        </w:rPr>
        <w:t xml:space="preserve"> for future pensioners.</w:t>
      </w:r>
      <w:r w:rsidR="00244DF8" w:rsidRPr="003E540C">
        <w:rPr>
          <w:rFonts w:cs="Times New Roman"/>
          <w:szCs w:val="24"/>
          <w:lang w:val="en-GB"/>
        </w:rPr>
        <w:t xml:space="preserve"> OPF are the institutions of the mandatory second pillar, so the results are important for the vast majority of Polish </w:t>
      </w:r>
      <w:r w:rsidR="0002288B">
        <w:rPr>
          <w:rFonts w:cs="Times New Roman"/>
          <w:szCs w:val="24"/>
          <w:lang w:val="en-GB"/>
        </w:rPr>
        <w:t>society</w:t>
      </w:r>
      <w:r w:rsidR="00244DF8" w:rsidRPr="003E540C">
        <w:rPr>
          <w:rFonts w:cs="Times New Roman"/>
          <w:szCs w:val="24"/>
          <w:lang w:val="en-GB"/>
        </w:rPr>
        <w:t xml:space="preserve">. </w:t>
      </w:r>
      <w:r w:rsidR="00D40C4F" w:rsidRPr="003E540C">
        <w:rPr>
          <w:rFonts w:cs="Times New Roman"/>
          <w:szCs w:val="24"/>
          <w:lang w:val="en-GB"/>
        </w:rPr>
        <w:t xml:space="preserve">Secondly, the availability of </w:t>
      </w:r>
      <w:r w:rsidR="0002288B">
        <w:rPr>
          <w:rFonts w:cs="Times New Roman"/>
          <w:szCs w:val="24"/>
          <w:lang w:val="en-GB"/>
        </w:rPr>
        <w:t xml:space="preserve">the </w:t>
      </w:r>
      <w:r w:rsidR="00244DF8" w:rsidRPr="003E540C">
        <w:rPr>
          <w:rFonts w:cs="Times New Roman"/>
          <w:szCs w:val="24"/>
          <w:lang w:val="en-GB"/>
        </w:rPr>
        <w:t xml:space="preserve">detailed </w:t>
      </w:r>
      <w:r w:rsidR="00D40C4F" w:rsidRPr="003E540C">
        <w:rPr>
          <w:rFonts w:cs="Times New Roman"/>
          <w:szCs w:val="24"/>
          <w:lang w:val="en-GB"/>
        </w:rPr>
        <w:t>data on pension funds</w:t>
      </w:r>
      <w:r w:rsidR="003845DB" w:rsidRPr="003E540C">
        <w:rPr>
          <w:rFonts w:cs="Times New Roman"/>
          <w:szCs w:val="24"/>
          <w:lang w:val="en-GB"/>
        </w:rPr>
        <w:t>’</w:t>
      </w:r>
      <w:r w:rsidR="00D40C4F" w:rsidRPr="003E540C">
        <w:rPr>
          <w:rFonts w:cs="Times New Roman"/>
          <w:szCs w:val="24"/>
          <w:lang w:val="en-GB"/>
        </w:rPr>
        <w:t xml:space="preserve"> </w:t>
      </w:r>
      <w:r w:rsidR="003845DB" w:rsidRPr="003E540C">
        <w:rPr>
          <w:rFonts w:cs="Times New Roman"/>
          <w:szCs w:val="24"/>
          <w:lang w:val="en-GB"/>
        </w:rPr>
        <w:t>portfolios</w:t>
      </w:r>
      <w:r w:rsidR="00D40C4F" w:rsidRPr="003E540C">
        <w:rPr>
          <w:rFonts w:cs="Times New Roman"/>
          <w:szCs w:val="24"/>
          <w:lang w:val="en-GB"/>
        </w:rPr>
        <w:t xml:space="preserve"> make the </w:t>
      </w:r>
      <w:r w:rsidR="00244DF8" w:rsidRPr="003E540C">
        <w:rPr>
          <w:rFonts w:cs="Times New Roman"/>
          <w:szCs w:val="24"/>
          <w:lang w:val="en-GB"/>
        </w:rPr>
        <w:t xml:space="preserve">verification </w:t>
      </w:r>
      <w:r w:rsidR="003845DB" w:rsidRPr="003E540C">
        <w:rPr>
          <w:rFonts w:cs="Times New Roman"/>
          <w:szCs w:val="24"/>
          <w:lang w:val="en-GB"/>
        </w:rPr>
        <w:t xml:space="preserve">process </w:t>
      </w:r>
      <w:r w:rsidR="00D40C4F" w:rsidRPr="003E540C">
        <w:rPr>
          <w:rFonts w:cs="Times New Roman"/>
          <w:szCs w:val="24"/>
          <w:lang w:val="en-GB"/>
        </w:rPr>
        <w:t>feasible</w:t>
      </w:r>
      <w:r w:rsidR="003845DB" w:rsidRPr="003E540C">
        <w:rPr>
          <w:rFonts w:cs="Times New Roman"/>
          <w:szCs w:val="24"/>
          <w:lang w:val="en-GB"/>
        </w:rPr>
        <w:t>.</w:t>
      </w:r>
    </w:p>
    <w:p w:rsidR="009554EF" w:rsidRPr="003E540C" w:rsidRDefault="00244DF8" w:rsidP="009554EF">
      <w:pPr>
        <w:spacing w:line="480" w:lineRule="auto"/>
        <w:ind w:firstLine="708"/>
        <w:rPr>
          <w:rFonts w:cs="Times New Roman"/>
          <w:szCs w:val="24"/>
          <w:lang w:val="en-GB"/>
        </w:rPr>
      </w:pPr>
      <w:r w:rsidRPr="003E540C">
        <w:rPr>
          <w:rFonts w:cs="Times New Roman"/>
          <w:szCs w:val="24"/>
          <w:lang w:val="en-GB"/>
        </w:rPr>
        <w:t xml:space="preserve">The paper continues as follows. The next paragraph contains the detailed </w:t>
      </w:r>
      <w:r w:rsidR="003845DB" w:rsidRPr="003E540C">
        <w:rPr>
          <w:rFonts w:cs="Times New Roman"/>
          <w:szCs w:val="24"/>
          <w:lang w:val="en-GB"/>
        </w:rPr>
        <w:t xml:space="preserve"> description of the employed </w:t>
      </w:r>
      <w:r w:rsidRPr="003E540C">
        <w:rPr>
          <w:rFonts w:cs="Times New Roman"/>
          <w:szCs w:val="24"/>
          <w:lang w:val="en-GB"/>
        </w:rPr>
        <w:t>methodology.</w:t>
      </w:r>
      <w:r w:rsidR="003845DB" w:rsidRPr="003E540C">
        <w:rPr>
          <w:rFonts w:cs="Times New Roman"/>
          <w:szCs w:val="24"/>
          <w:lang w:val="en-GB"/>
        </w:rPr>
        <w:t xml:space="preserve"> Moreover</w:t>
      </w:r>
      <w:r w:rsidR="0002288B">
        <w:rPr>
          <w:rFonts w:cs="Times New Roman"/>
          <w:szCs w:val="24"/>
          <w:lang w:val="en-GB"/>
        </w:rPr>
        <w:t>,</w:t>
      </w:r>
      <w:r w:rsidR="003845DB" w:rsidRPr="003E540C">
        <w:rPr>
          <w:rFonts w:cs="Times New Roman"/>
          <w:szCs w:val="24"/>
          <w:lang w:val="en-GB"/>
        </w:rPr>
        <w:t xml:space="preserve"> we present the alternative approaches of measuring the diversification gains indicating their advantages and weaknesses. Then</w:t>
      </w:r>
      <w:r w:rsidR="00536C8E" w:rsidRPr="003E540C">
        <w:rPr>
          <w:rFonts w:cs="Times New Roman"/>
          <w:szCs w:val="24"/>
          <w:lang w:val="en-GB"/>
        </w:rPr>
        <w:t>,</w:t>
      </w:r>
      <w:r w:rsidR="003845DB" w:rsidRPr="003E540C">
        <w:rPr>
          <w:rFonts w:cs="Times New Roman"/>
          <w:szCs w:val="24"/>
          <w:lang w:val="en-GB"/>
        </w:rPr>
        <w:t xml:space="preserve"> we present the data used in this study.</w:t>
      </w:r>
      <w:r w:rsidRPr="003E540C">
        <w:rPr>
          <w:rFonts w:cs="Times New Roman"/>
          <w:szCs w:val="24"/>
          <w:lang w:val="en-GB"/>
        </w:rPr>
        <w:t xml:space="preserve"> </w:t>
      </w:r>
      <w:r w:rsidR="003845DB" w:rsidRPr="003E540C">
        <w:rPr>
          <w:rFonts w:cs="Times New Roman"/>
          <w:szCs w:val="24"/>
          <w:lang w:val="en-GB"/>
        </w:rPr>
        <w:t xml:space="preserve">Next part contains the results of the empirical research. </w:t>
      </w:r>
      <w:r w:rsidRPr="003E540C">
        <w:rPr>
          <w:rFonts w:cs="Times New Roman"/>
          <w:szCs w:val="24"/>
          <w:lang w:val="en-GB"/>
        </w:rPr>
        <w:t xml:space="preserve">In the last section we make </w:t>
      </w:r>
      <w:r w:rsidR="0002288B">
        <w:rPr>
          <w:rFonts w:cs="Times New Roman"/>
          <w:szCs w:val="24"/>
          <w:lang w:val="en-GB"/>
        </w:rPr>
        <w:t xml:space="preserve">the </w:t>
      </w:r>
      <w:r w:rsidRPr="003E540C">
        <w:rPr>
          <w:rFonts w:cs="Times New Roman"/>
          <w:szCs w:val="24"/>
          <w:lang w:val="en-GB"/>
        </w:rPr>
        <w:t>concluding comments and describe</w:t>
      </w:r>
      <w:r w:rsidR="00536C8E" w:rsidRPr="003E540C">
        <w:rPr>
          <w:rFonts w:cs="Times New Roman"/>
          <w:szCs w:val="24"/>
          <w:lang w:val="en-GB"/>
        </w:rPr>
        <w:t xml:space="preserve"> the</w:t>
      </w:r>
      <w:r w:rsidRPr="003E540C">
        <w:rPr>
          <w:rFonts w:cs="Times New Roman"/>
          <w:szCs w:val="24"/>
          <w:lang w:val="en-GB"/>
        </w:rPr>
        <w:t xml:space="preserve"> possible direction</w:t>
      </w:r>
      <w:r w:rsidR="00536C8E" w:rsidRPr="003E540C">
        <w:rPr>
          <w:rFonts w:cs="Times New Roman"/>
          <w:szCs w:val="24"/>
          <w:lang w:val="en-GB"/>
        </w:rPr>
        <w:t>s</w:t>
      </w:r>
      <w:r w:rsidRPr="003E540C">
        <w:rPr>
          <w:rFonts w:cs="Times New Roman"/>
          <w:szCs w:val="24"/>
          <w:lang w:val="en-GB"/>
        </w:rPr>
        <w:t xml:space="preserve"> for further research.</w:t>
      </w:r>
    </w:p>
    <w:p w:rsidR="009554EF" w:rsidRDefault="009554EF" w:rsidP="009554EF">
      <w:pPr>
        <w:spacing w:line="480" w:lineRule="auto"/>
        <w:rPr>
          <w:rFonts w:cs="Times New Roman"/>
          <w:szCs w:val="24"/>
          <w:lang w:val="en-GB"/>
        </w:rPr>
      </w:pPr>
    </w:p>
    <w:p w:rsidR="009E66C1" w:rsidRPr="003E540C" w:rsidRDefault="009E66C1" w:rsidP="009554EF">
      <w:pPr>
        <w:spacing w:line="480" w:lineRule="auto"/>
        <w:rPr>
          <w:rFonts w:cs="Times New Roman"/>
          <w:szCs w:val="24"/>
          <w:lang w:val="en-GB"/>
        </w:rPr>
      </w:pPr>
    </w:p>
    <w:p w:rsidR="009554EF" w:rsidRPr="003E540C" w:rsidRDefault="009554EF" w:rsidP="009554EF">
      <w:pPr>
        <w:pStyle w:val="Akapitzlist"/>
        <w:numPr>
          <w:ilvl w:val="0"/>
          <w:numId w:val="1"/>
        </w:numPr>
        <w:spacing w:line="480" w:lineRule="auto"/>
        <w:rPr>
          <w:rFonts w:cs="Times New Roman"/>
          <w:b/>
          <w:szCs w:val="24"/>
          <w:lang w:val="en-GB"/>
        </w:rPr>
      </w:pPr>
      <w:r w:rsidRPr="003E540C">
        <w:rPr>
          <w:rFonts w:cs="Times New Roman"/>
          <w:b/>
          <w:szCs w:val="24"/>
          <w:lang w:val="en-GB"/>
        </w:rPr>
        <w:lastRenderedPageBreak/>
        <w:t>Methodology</w:t>
      </w:r>
    </w:p>
    <w:p w:rsidR="00B00D78" w:rsidRPr="003E540C" w:rsidRDefault="00B00D78" w:rsidP="00B00D78">
      <w:pPr>
        <w:spacing w:line="480" w:lineRule="auto"/>
        <w:ind w:firstLine="708"/>
        <w:rPr>
          <w:rFonts w:cs="Times New Roman"/>
          <w:szCs w:val="24"/>
          <w:lang w:val="en-GB"/>
        </w:rPr>
      </w:pPr>
      <w:r w:rsidRPr="003E540C">
        <w:rPr>
          <w:rFonts w:cs="Times New Roman"/>
          <w:szCs w:val="24"/>
          <w:lang w:val="en-GB"/>
        </w:rPr>
        <w:t>To measure the diversification gains after changing the portfolio weights one can use portfolio performance ratios. This approach can be found for example in</w:t>
      </w:r>
      <w:r w:rsidR="00716B66">
        <w:rPr>
          <w:rFonts w:cs="Times New Roman"/>
          <w:szCs w:val="24"/>
          <w:lang w:val="en-GB"/>
        </w:rPr>
        <w:t xml:space="preserve"> Rubens </w:t>
      </w:r>
      <w:r w:rsidR="00716B66" w:rsidRPr="00716B66">
        <w:rPr>
          <w:rFonts w:cs="Times New Roman"/>
          <w:i/>
          <w:szCs w:val="24"/>
          <w:lang w:val="en-GB"/>
        </w:rPr>
        <w:t>et al.</w:t>
      </w:r>
      <w:r w:rsidR="00716B66">
        <w:rPr>
          <w:rFonts w:cs="Times New Roman"/>
          <w:szCs w:val="24"/>
          <w:lang w:val="en-GB"/>
        </w:rPr>
        <w:t xml:space="preserve"> (1998).</w:t>
      </w:r>
      <w:r w:rsidRPr="003E540C">
        <w:rPr>
          <w:rFonts w:cs="Times New Roman"/>
          <w:szCs w:val="24"/>
          <w:lang w:val="en-GB"/>
        </w:rPr>
        <w:t xml:space="preserve"> The most widely used measure of portfolio performance </w:t>
      </w:r>
      <w:r w:rsidR="000A2B11">
        <w:rPr>
          <w:rFonts w:cs="Times New Roman"/>
          <w:szCs w:val="24"/>
          <w:lang w:val="en-GB"/>
        </w:rPr>
        <w:t>is perhaps the</w:t>
      </w:r>
      <w:r w:rsidR="0018102E" w:rsidRPr="003E540C">
        <w:rPr>
          <w:rFonts w:cs="Times New Roman"/>
          <w:szCs w:val="24"/>
          <w:lang w:val="en-GB"/>
        </w:rPr>
        <w:t xml:space="preserve"> Sharp ratio</w:t>
      </w:r>
      <w:r w:rsidR="000A2B11">
        <w:rPr>
          <w:rFonts w:cs="Times New Roman"/>
          <w:szCs w:val="24"/>
          <w:lang w:val="en-GB"/>
        </w:rPr>
        <w:t xml:space="preserve"> </w:t>
      </w:r>
      <w:r w:rsidRPr="003E540C">
        <w:rPr>
          <w:rFonts w:cs="Times New Roman"/>
          <w:szCs w:val="24"/>
          <w:lang w:val="en-GB"/>
        </w:rPr>
        <w:t>asses</w:t>
      </w:r>
      <w:r w:rsidR="000A2B11">
        <w:rPr>
          <w:rFonts w:cs="Times New Roman"/>
          <w:szCs w:val="24"/>
          <w:lang w:val="en-GB"/>
        </w:rPr>
        <w:t>sing</w:t>
      </w:r>
      <w:r w:rsidRPr="003E540C">
        <w:rPr>
          <w:rFonts w:cs="Times New Roman"/>
          <w:szCs w:val="24"/>
          <w:lang w:val="en-GB"/>
        </w:rPr>
        <w:t xml:space="preserve"> the risk-adjusted portfolio</w:t>
      </w:r>
      <w:r w:rsidR="000A2B11">
        <w:rPr>
          <w:rFonts w:cs="Times New Roman"/>
          <w:szCs w:val="24"/>
          <w:lang w:val="en-GB"/>
        </w:rPr>
        <w:t>’s</w:t>
      </w:r>
      <w:r w:rsidRPr="003E540C">
        <w:rPr>
          <w:rFonts w:cs="Times New Roman"/>
          <w:szCs w:val="24"/>
          <w:lang w:val="en-GB"/>
        </w:rPr>
        <w:t xml:space="preserve"> </w:t>
      </w:r>
      <w:r w:rsidR="000A2B11">
        <w:rPr>
          <w:rFonts w:cs="Times New Roman"/>
          <w:szCs w:val="24"/>
          <w:lang w:val="en-GB"/>
        </w:rPr>
        <w:t xml:space="preserve">return. </w:t>
      </w:r>
      <w:r w:rsidRPr="003E540C">
        <w:rPr>
          <w:rFonts w:cs="Times New Roman"/>
          <w:szCs w:val="24"/>
          <w:lang w:val="en-GB"/>
        </w:rPr>
        <w:t>The Sharp ratio</w:t>
      </w:r>
      <w:r w:rsidR="00264D9D" w:rsidRPr="003E540C">
        <w:rPr>
          <w:rFonts w:cs="Times New Roman"/>
          <w:szCs w:val="24"/>
          <w:lang w:val="en-GB"/>
        </w:rPr>
        <w:t xml:space="preserve"> (</w:t>
      </w:r>
      <w:proofErr w:type="spellStart"/>
      <w:r w:rsidR="00264D9D" w:rsidRPr="003E540C">
        <w:rPr>
          <w:rFonts w:cs="Times New Roman"/>
          <w:i/>
          <w:szCs w:val="24"/>
          <w:lang w:val="en-GB"/>
        </w:rPr>
        <w:t>Sh</w:t>
      </w:r>
      <w:proofErr w:type="spellEnd"/>
      <w:r w:rsidR="00264D9D" w:rsidRPr="003E540C">
        <w:rPr>
          <w:rFonts w:cs="Times New Roman"/>
          <w:szCs w:val="24"/>
          <w:lang w:val="en-GB"/>
        </w:rPr>
        <w:t>)</w:t>
      </w:r>
      <w:r w:rsidRPr="003E540C">
        <w:rPr>
          <w:rFonts w:cs="Times New Roman"/>
          <w:szCs w:val="24"/>
          <w:lang w:val="en-GB"/>
        </w:rPr>
        <w:t xml:space="preserve"> is defined as:</w:t>
      </w:r>
    </w:p>
    <w:p w:rsidR="00C17AD7" w:rsidRPr="003E540C" w:rsidRDefault="00C17AD7" w:rsidP="00B00D78">
      <w:pPr>
        <w:spacing w:line="480" w:lineRule="auto"/>
        <w:ind w:firstLine="708"/>
        <w:rPr>
          <w:rFonts w:cs="Times New Roman"/>
          <w:szCs w:val="24"/>
          <w:lang w:val="en-GB"/>
        </w:rPr>
      </w:pPr>
    </w:p>
    <w:p w:rsidR="00B00D78" w:rsidRDefault="00B00D78" w:rsidP="00C17AD7">
      <w:pPr>
        <w:spacing w:line="480" w:lineRule="auto"/>
        <w:ind w:left="3540"/>
        <w:jc w:val="left"/>
        <w:rPr>
          <w:rFonts w:eastAsiaTheme="minorEastAsia" w:cs="Times New Roman"/>
          <w:szCs w:val="24"/>
          <w:lang w:val="en-GB"/>
        </w:rPr>
      </w:pPr>
      <m:oMath>
        <m:r>
          <w:rPr>
            <w:rFonts w:ascii="Cambria Math" w:hAnsi="Cambria Math" w:cs="Times New Roman"/>
            <w:szCs w:val="24"/>
            <w:lang w:val="en-GB"/>
          </w:rPr>
          <m:t>S</m:t>
        </m:r>
        <m:r>
          <w:rPr>
            <w:rFonts w:hAnsi="Cambria Math" w:cs="Times New Roman"/>
            <w:szCs w:val="24"/>
            <w:lang w:val="en-GB"/>
          </w:rPr>
          <m:t>h</m:t>
        </m:r>
        <m:r>
          <w:rPr>
            <w:rFonts w:ascii="Cambria Math" w:cs="Times New Roman"/>
            <w:szCs w:val="24"/>
            <w:lang w:val="en-GB"/>
          </w:rPr>
          <m:t>=</m:t>
        </m:r>
        <m:f>
          <m:fPr>
            <m:ctrlPr>
              <w:rPr>
                <w:rFonts w:ascii="Cambria Math" w:hAnsi="Cambria Math" w:cs="Times New Roman"/>
                <w:i/>
                <w:szCs w:val="24"/>
                <w:lang w:val="en-GB"/>
              </w:rPr>
            </m:ctrlPr>
          </m:fPr>
          <m:num>
            <m:sSub>
              <m:sSubPr>
                <m:ctrlPr>
                  <w:rPr>
                    <w:rFonts w:ascii="Cambria Math" w:hAnsi="Cambria Math" w:cs="Times New Roman"/>
                    <w:i/>
                    <w:szCs w:val="24"/>
                    <w:lang w:val="en-GB"/>
                  </w:rPr>
                </m:ctrlPr>
              </m:sSubPr>
              <m:e>
                <m:r>
                  <w:rPr>
                    <w:rFonts w:ascii="Cambria Math" w:hAnsi="Cambria Math" w:cs="Times New Roman"/>
                    <w:szCs w:val="24"/>
                    <w:lang w:val="en-GB"/>
                  </w:rPr>
                  <m:t>R</m:t>
                </m:r>
              </m:e>
              <m:sub>
                <m:r>
                  <w:rPr>
                    <w:rFonts w:ascii="Cambria Math" w:hAnsi="Cambria Math" w:cs="Times New Roman"/>
                    <w:szCs w:val="24"/>
                    <w:lang w:val="en-GB"/>
                  </w:rPr>
                  <m:t>p</m:t>
                </m:r>
              </m:sub>
            </m:sSub>
            <m:r>
              <w:rPr>
                <w:rFonts w:ascii="Cambria Math" w:hAnsi="Cambria Math" w:cs="Times New Roman"/>
                <w:szCs w:val="24"/>
                <w:lang w:val="en-GB"/>
              </w:rPr>
              <m:t>-</m:t>
            </m:r>
            <m:sSub>
              <m:sSubPr>
                <m:ctrlPr>
                  <w:rPr>
                    <w:rFonts w:ascii="Cambria Math" w:hAnsi="Cambria Math" w:cs="Times New Roman"/>
                    <w:i/>
                    <w:szCs w:val="24"/>
                    <w:lang w:val="en-GB"/>
                  </w:rPr>
                </m:ctrlPr>
              </m:sSubPr>
              <m:e>
                <m:r>
                  <w:rPr>
                    <w:rFonts w:ascii="Cambria Math" w:hAnsi="Cambria Math" w:cs="Times New Roman"/>
                    <w:szCs w:val="24"/>
                    <w:lang w:val="en-GB"/>
                  </w:rPr>
                  <m:t>R</m:t>
                </m:r>
              </m:e>
              <m:sub>
                <m:r>
                  <w:rPr>
                    <w:rFonts w:ascii="Cambria Math" w:hAnsi="Cambria Math" w:cs="Times New Roman"/>
                    <w:szCs w:val="24"/>
                    <w:lang w:val="en-GB"/>
                  </w:rPr>
                  <m:t>f</m:t>
                </m:r>
              </m:sub>
            </m:sSub>
          </m:num>
          <m:den>
            <m:sSub>
              <m:sSubPr>
                <m:ctrlPr>
                  <w:rPr>
                    <w:rFonts w:ascii="Cambria Math" w:hAnsi="Cambria Math" w:cs="Times New Roman"/>
                    <w:i/>
                    <w:szCs w:val="24"/>
                    <w:lang w:val="en-GB"/>
                  </w:rPr>
                </m:ctrlPr>
              </m:sSubPr>
              <m:e>
                <m:r>
                  <w:rPr>
                    <w:rFonts w:ascii="Cambria Math" w:hAnsi="Cambria Math" w:cs="Times New Roman"/>
                    <w:szCs w:val="24"/>
                    <w:lang w:val="en-GB"/>
                  </w:rPr>
                  <m:t>s</m:t>
                </m:r>
              </m:e>
              <m:sub>
                <m:r>
                  <w:rPr>
                    <w:rFonts w:ascii="Cambria Math" w:hAnsi="Cambria Math" w:cs="Times New Roman"/>
                    <w:szCs w:val="24"/>
                    <w:lang w:val="en-GB"/>
                  </w:rPr>
                  <m:t>p</m:t>
                </m:r>
              </m:sub>
            </m:sSub>
          </m:den>
        </m:f>
      </m:oMath>
      <w:r w:rsidRPr="003E540C">
        <w:rPr>
          <w:rFonts w:eastAsiaTheme="minorEastAsia" w:cs="Times New Roman"/>
          <w:szCs w:val="24"/>
          <w:lang w:val="en-GB"/>
        </w:rPr>
        <w:t xml:space="preserve">   </w:t>
      </w:r>
      <w:r w:rsidR="00C17AD7">
        <w:rPr>
          <w:rFonts w:eastAsiaTheme="minorEastAsia" w:cs="Times New Roman"/>
          <w:szCs w:val="24"/>
          <w:lang w:val="en-GB"/>
        </w:rPr>
        <w:tab/>
      </w:r>
      <w:r w:rsidR="00C17AD7">
        <w:rPr>
          <w:rFonts w:eastAsiaTheme="minorEastAsia" w:cs="Times New Roman"/>
          <w:szCs w:val="24"/>
          <w:lang w:val="en-GB"/>
        </w:rPr>
        <w:tab/>
      </w:r>
      <w:r w:rsidR="00C17AD7">
        <w:rPr>
          <w:rFonts w:eastAsiaTheme="minorEastAsia" w:cs="Times New Roman"/>
          <w:szCs w:val="24"/>
          <w:lang w:val="en-GB"/>
        </w:rPr>
        <w:tab/>
      </w:r>
      <w:r w:rsidR="00C17AD7">
        <w:rPr>
          <w:rFonts w:eastAsiaTheme="minorEastAsia" w:cs="Times New Roman"/>
          <w:szCs w:val="24"/>
          <w:lang w:val="en-GB"/>
        </w:rPr>
        <w:tab/>
      </w:r>
      <w:r w:rsidR="00C17AD7">
        <w:rPr>
          <w:rFonts w:eastAsiaTheme="minorEastAsia" w:cs="Times New Roman"/>
          <w:szCs w:val="24"/>
          <w:lang w:val="en-GB"/>
        </w:rPr>
        <w:tab/>
      </w:r>
      <w:r w:rsidRPr="003E540C">
        <w:rPr>
          <w:rFonts w:eastAsiaTheme="minorEastAsia" w:cs="Times New Roman"/>
          <w:szCs w:val="24"/>
          <w:lang w:val="en-GB"/>
        </w:rPr>
        <w:t>(1)</w:t>
      </w:r>
    </w:p>
    <w:p w:rsidR="001F6F4B" w:rsidRPr="003E540C" w:rsidRDefault="001F6F4B" w:rsidP="00C17AD7">
      <w:pPr>
        <w:spacing w:line="480" w:lineRule="auto"/>
        <w:ind w:left="3540"/>
        <w:jc w:val="left"/>
        <w:rPr>
          <w:rFonts w:cs="Times New Roman"/>
          <w:szCs w:val="24"/>
          <w:lang w:val="en-GB"/>
        </w:rPr>
      </w:pPr>
    </w:p>
    <w:p w:rsidR="00B00D78" w:rsidRPr="003E540C" w:rsidRDefault="00B00D78" w:rsidP="00B00D78">
      <w:pPr>
        <w:autoSpaceDE w:val="0"/>
        <w:autoSpaceDN w:val="0"/>
        <w:adjustRightInd w:val="0"/>
        <w:spacing w:line="480" w:lineRule="auto"/>
        <w:rPr>
          <w:rFonts w:eastAsia="Times New Roman" w:cs="Times New Roman"/>
          <w:szCs w:val="24"/>
          <w:lang w:val="en-GB" w:eastAsia="pl-PL"/>
        </w:rPr>
      </w:pPr>
      <w:r w:rsidRPr="003E540C">
        <w:rPr>
          <w:rFonts w:cs="Times New Roman"/>
          <w:szCs w:val="24"/>
          <w:lang w:val="en-GB"/>
        </w:rPr>
        <w:t xml:space="preserve">where </w:t>
      </w:r>
      <m:oMath>
        <m:sSub>
          <m:sSubPr>
            <m:ctrlPr>
              <w:rPr>
                <w:rFonts w:ascii="Cambria Math" w:hAnsi="Cambria Math" w:cs="Times New Roman"/>
                <w:i/>
                <w:szCs w:val="24"/>
                <w:lang w:val="en-GB"/>
              </w:rPr>
            </m:ctrlPr>
          </m:sSubPr>
          <m:e>
            <m:r>
              <w:rPr>
                <w:rFonts w:ascii="Cambria Math" w:hAnsi="Cambria Math" w:cs="Times New Roman"/>
                <w:szCs w:val="24"/>
                <w:lang w:val="en-GB"/>
              </w:rPr>
              <m:t>R</m:t>
            </m:r>
          </m:e>
          <m:sub>
            <m:r>
              <w:rPr>
                <w:rFonts w:ascii="Cambria Math" w:hAnsi="Cambria Math" w:cs="Times New Roman"/>
                <w:szCs w:val="24"/>
                <w:lang w:val="en-GB"/>
              </w:rPr>
              <m:t>p</m:t>
            </m:r>
          </m:sub>
        </m:sSub>
      </m:oMath>
      <w:r w:rsidRPr="003E540C">
        <w:rPr>
          <w:rFonts w:cs="Times New Roman"/>
          <w:szCs w:val="24"/>
          <w:lang w:val="en-GB"/>
        </w:rPr>
        <w:t xml:space="preserve"> and </w:t>
      </w:r>
      <m:oMath>
        <m:sSub>
          <m:sSubPr>
            <m:ctrlPr>
              <w:rPr>
                <w:rFonts w:ascii="Cambria Math" w:hAnsi="Cambria Math" w:cs="Times New Roman"/>
                <w:i/>
                <w:szCs w:val="24"/>
                <w:lang w:val="en-GB"/>
              </w:rPr>
            </m:ctrlPr>
          </m:sSubPr>
          <m:e>
            <m:r>
              <w:rPr>
                <w:rFonts w:ascii="Cambria Math" w:hAnsi="Cambria Math" w:cs="Times New Roman"/>
                <w:szCs w:val="24"/>
                <w:lang w:val="en-GB"/>
              </w:rPr>
              <m:t>s</m:t>
            </m:r>
          </m:e>
          <m:sub>
            <m:r>
              <w:rPr>
                <w:rFonts w:ascii="Cambria Math" w:hAnsi="Cambria Math" w:cs="Times New Roman"/>
                <w:szCs w:val="24"/>
                <w:lang w:val="en-GB"/>
              </w:rPr>
              <m:t>p</m:t>
            </m:r>
          </m:sub>
        </m:sSub>
      </m:oMath>
      <w:r w:rsidR="00047D4E" w:rsidRPr="003E540C">
        <w:rPr>
          <w:rFonts w:eastAsiaTheme="minorEastAsia" w:cs="Times New Roman"/>
          <w:szCs w:val="24"/>
          <w:lang w:val="en-GB"/>
        </w:rPr>
        <w:t xml:space="preserve"> </w:t>
      </w:r>
      <w:r w:rsidR="0002288B">
        <w:rPr>
          <w:rFonts w:cs="Times New Roman"/>
          <w:szCs w:val="24"/>
          <w:lang w:val="en-GB"/>
        </w:rPr>
        <w:t>denote</w:t>
      </w:r>
      <w:r w:rsidRPr="003E540C">
        <w:rPr>
          <w:rFonts w:cs="Times New Roman"/>
          <w:szCs w:val="24"/>
          <w:lang w:val="en-GB"/>
        </w:rPr>
        <w:t xml:space="preserve"> portfolio’s realized return and standard deviation of returns respectively, while </w:t>
      </w:r>
      <m:oMath>
        <m:sSub>
          <m:sSubPr>
            <m:ctrlPr>
              <w:rPr>
                <w:rFonts w:ascii="Cambria Math" w:hAnsi="Cambria Math" w:cs="Times New Roman"/>
                <w:i/>
                <w:szCs w:val="24"/>
                <w:lang w:val="en-GB"/>
              </w:rPr>
            </m:ctrlPr>
          </m:sSubPr>
          <m:e>
            <m:r>
              <w:rPr>
                <w:rFonts w:ascii="Cambria Math" w:hAnsi="Cambria Math" w:cs="Times New Roman"/>
                <w:szCs w:val="24"/>
                <w:lang w:val="en-GB"/>
              </w:rPr>
              <m:t>R</m:t>
            </m:r>
          </m:e>
          <m:sub>
            <m:r>
              <w:rPr>
                <w:rFonts w:ascii="Cambria Math" w:hAnsi="Cambria Math" w:cs="Times New Roman"/>
                <w:szCs w:val="24"/>
                <w:lang w:val="en-GB"/>
              </w:rPr>
              <m:t>f</m:t>
            </m:r>
          </m:sub>
        </m:sSub>
      </m:oMath>
      <w:r w:rsidRPr="003E540C">
        <w:rPr>
          <w:rFonts w:cs="Times New Roman"/>
          <w:szCs w:val="24"/>
          <w:lang w:val="en-GB"/>
        </w:rPr>
        <w:t xml:space="preserve"> is a risk free rate. </w:t>
      </w:r>
      <w:r w:rsidR="0002288B">
        <w:rPr>
          <w:rFonts w:eastAsia="Times New Roman" w:cs="Times New Roman"/>
          <w:szCs w:val="24"/>
          <w:lang w:val="en-GB" w:eastAsia="pl-PL"/>
        </w:rPr>
        <w:t xml:space="preserve">The used measure of risk, </w:t>
      </w:r>
      <w:r w:rsidRPr="003E540C">
        <w:rPr>
          <w:rFonts w:eastAsia="Times New Roman" w:cs="Times New Roman"/>
          <w:szCs w:val="24"/>
          <w:lang w:val="en-GB" w:eastAsia="pl-PL"/>
        </w:rPr>
        <w:t>standard deviation</w:t>
      </w:r>
      <w:r w:rsidR="0002288B">
        <w:rPr>
          <w:rFonts w:eastAsia="Times New Roman" w:cs="Times New Roman"/>
          <w:szCs w:val="24"/>
          <w:lang w:val="en-GB" w:eastAsia="pl-PL"/>
        </w:rPr>
        <w:t xml:space="preserve"> </w:t>
      </w:r>
      <w:r w:rsidR="0002288B" w:rsidRPr="003E540C">
        <w:rPr>
          <w:rFonts w:eastAsia="Times New Roman" w:cs="Times New Roman"/>
          <w:szCs w:val="24"/>
          <w:lang w:val="en-GB" w:eastAsia="pl-PL"/>
        </w:rPr>
        <w:t xml:space="preserve"> </w:t>
      </w:r>
      <w:r w:rsidRPr="003E540C">
        <w:rPr>
          <w:rFonts w:eastAsia="Times New Roman" w:cs="Times New Roman"/>
          <w:szCs w:val="24"/>
          <w:lang w:val="en-GB" w:eastAsia="pl-PL"/>
        </w:rPr>
        <w:t xml:space="preserve">measures therefore the overall portfolio risk. Because of its simplicity and intuitive </w:t>
      </w:r>
      <w:r w:rsidR="00FD0E7A" w:rsidRPr="003E540C">
        <w:rPr>
          <w:rFonts w:eastAsia="Times New Roman" w:cs="Times New Roman"/>
          <w:szCs w:val="24"/>
          <w:lang w:val="en-GB" w:eastAsia="pl-PL"/>
        </w:rPr>
        <w:t>character</w:t>
      </w:r>
      <w:r w:rsidRPr="003E540C">
        <w:rPr>
          <w:rFonts w:eastAsia="Times New Roman" w:cs="Times New Roman"/>
          <w:szCs w:val="24"/>
          <w:lang w:val="en-GB" w:eastAsia="pl-PL"/>
        </w:rPr>
        <w:t xml:space="preserve"> </w:t>
      </w:r>
      <w:r w:rsidR="00047D4E" w:rsidRPr="003E540C">
        <w:rPr>
          <w:rFonts w:eastAsia="Times New Roman" w:cs="Times New Roman"/>
          <w:szCs w:val="24"/>
          <w:lang w:val="en-GB" w:eastAsia="pl-PL"/>
        </w:rPr>
        <w:t xml:space="preserve">it </w:t>
      </w:r>
      <w:r w:rsidRPr="003E540C">
        <w:rPr>
          <w:rFonts w:eastAsia="Times New Roman" w:cs="Times New Roman"/>
          <w:szCs w:val="24"/>
          <w:lang w:val="en-GB" w:eastAsia="pl-PL"/>
        </w:rPr>
        <w:t xml:space="preserve">is perhaps the most popular way of portfolio performance assessment. </w:t>
      </w:r>
      <w:r w:rsidR="00FD0E7A" w:rsidRPr="003E540C">
        <w:rPr>
          <w:rFonts w:eastAsia="Times New Roman" w:cs="Times New Roman"/>
          <w:szCs w:val="24"/>
          <w:lang w:val="en-GB" w:eastAsia="pl-PL"/>
        </w:rPr>
        <w:t>Substituting</w:t>
      </w:r>
      <w:r w:rsidR="000A2B62" w:rsidRPr="003E540C">
        <w:rPr>
          <w:rFonts w:eastAsia="Times New Roman" w:cs="Times New Roman"/>
          <w:szCs w:val="24"/>
          <w:lang w:val="en-GB" w:eastAsia="pl-PL"/>
        </w:rPr>
        <w:t xml:space="preserve"> the realized values by the</w:t>
      </w:r>
      <w:r w:rsidR="00264D9D" w:rsidRPr="003E540C">
        <w:rPr>
          <w:rFonts w:eastAsia="Times New Roman" w:cs="Times New Roman"/>
          <w:szCs w:val="24"/>
          <w:lang w:val="en-GB" w:eastAsia="pl-PL"/>
        </w:rPr>
        <w:t xml:space="preserve"> expected ones we get the formula</w:t>
      </w:r>
      <w:r w:rsidR="000A2B62" w:rsidRPr="003E540C">
        <w:rPr>
          <w:rFonts w:eastAsia="Times New Roman" w:cs="Times New Roman"/>
          <w:szCs w:val="24"/>
          <w:lang w:val="en-GB" w:eastAsia="pl-PL"/>
        </w:rPr>
        <w:t xml:space="preserve"> for the tangency portfolio, which is maximized in Markowitz portfolio optimization process:</w:t>
      </w:r>
    </w:p>
    <w:p w:rsidR="000A2B62" w:rsidRDefault="00A467C7" w:rsidP="001F6F4B">
      <w:pPr>
        <w:autoSpaceDE w:val="0"/>
        <w:autoSpaceDN w:val="0"/>
        <w:adjustRightInd w:val="0"/>
        <w:spacing w:line="480" w:lineRule="auto"/>
        <w:ind w:left="3540"/>
        <w:rPr>
          <w:rFonts w:cs="Times New Roman"/>
          <w:szCs w:val="24"/>
          <w:lang w:val="en-GB"/>
        </w:rPr>
      </w:pPr>
      <m:oMath>
        <m:f>
          <m:fPr>
            <m:ctrlPr>
              <w:rPr>
                <w:rFonts w:ascii="Cambria Math" w:hAnsi="Cambria Math" w:cs="Times New Roman"/>
                <w:i/>
                <w:szCs w:val="24"/>
                <w:lang w:val="en-GB"/>
              </w:rPr>
            </m:ctrlPr>
          </m:fPr>
          <m:num>
            <m:sSub>
              <m:sSubPr>
                <m:ctrlPr>
                  <w:rPr>
                    <w:rFonts w:ascii="Cambria Math" w:hAnsi="Cambria Math" w:cs="Times New Roman"/>
                    <w:i/>
                    <w:szCs w:val="24"/>
                    <w:lang w:val="en-GB"/>
                  </w:rPr>
                </m:ctrlPr>
              </m:sSubPr>
              <m:e>
                <m:r>
                  <w:rPr>
                    <w:rFonts w:ascii="Cambria Math" w:hAnsi="Cambria Math" w:cs="Times New Roman"/>
                    <w:szCs w:val="24"/>
                    <w:lang w:val="en-GB"/>
                  </w:rPr>
                  <m:t>R</m:t>
                </m:r>
              </m:e>
              <m:sub>
                <m:r>
                  <w:rPr>
                    <w:rFonts w:ascii="Cambria Math" w:hAnsi="Cambria Math" w:cs="Times New Roman"/>
                    <w:szCs w:val="24"/>
                    <w:lang w:val="en-GB"/>
                  </w:rPr>
                  <m:t>p</m:t>
                </m:r>
              </m:sub>
            </m:sSub>
            <m:r>
              <w:rPr>
                <w:rFonts w:ascii="Cambria Math" w:hAnsi="Cambria Math" w:cs="Times New Roman"/>
                <w:szCs w:val="24"/>
                <w:lang w:val="en-GB"/>
              </w:rPr>
              <m:t>-</m:t>
            </m:r>
            <m:sSub>
              <m:sSubPr>
                <m:ctrlPr>
                  <w:rPr>
                    <w:rFonts w:ascii="Cambria Math" w:hAnsi="Cambria Math" w:cs="Times New Roman"/>
                    <w:i/>
                    <w:szCs w:val="24"/>
                    <w:lang w:val="en-GB"/>
                  </w:rPr>
                </m:ctrlPr>
              </m:sSubPr>
              <m:e>
                <m:r>
                  <w:rPr>
                    <w:rFonts w:ascii="Cambria Math" w:hAnsi="Cambria Math" w:cs="Times New Roman"/>
                    <w:szCs w:val="24"/>
                    <w:lang w:val="en-GB"/>
                  </w:rPr>
                  <m:t>R</m:t>
                </m:r>
              </m:e>
              <m:sub>
                <m:r>
                  <w:rPr>
                    <w:rFonts w:ascii="Cambria Math" w:hAnsi="Cambria Math" w:cs="Times New Roman"/>
                    <w:szCs w:val="24"/>
                    <w:lang w:val="en-GB"/>
                  </w:rPr>
                  <m:t>f</m:t>
                </m:r>
              </m:sub>
            </m:sSub>
          </m:num>
          <m:den>
            <m:sSub>
              <m:sSubPr>
                <m:ctrlPr>
                  <w:rPr>
                    <w:rFonts w:ascii="Cambria Math" w:hAnsi="Cambria Math" w:cs="Times New Roman"/>
                    <w:i/>
                    <w:szCs w:val="24"/>
                    <w:lang w:val="en-GB"/>
                  </w:rPr>
                </m:ctrlPr>
              </m:sSubPr>
              <m:e>
                <m:r>
                  <w:rPr>
                    <w:rFonts w:ascii="Cambria Math" w:hAnsi="Cambria Math" w:cs="Times New Roman"/>
                    <w:szCs w:val="24"/>
                    <w:lang w:val="en-GB"/>
                  </w:rPr>
                  <m:t>s</m:t>
                </m:r>
              </m:e>
              <m:sub>
                <m:r>
                  <w:rPr>
                    <w:rFonts w:ascii="Cambria Math" w:hAnsi="Cambria Math" w:cs="Times New Roman"/>
                    <w:szCs w:val="24"/>
                    <w:lang w:val="en-GB"/>
                  </w:rPr>
                  <m:t>p</m:t>
                </m:r>
              </m:sub>
            </m:sSub>
          </m:den>
        </m:f>
        <m:r>
          <w:rPr>
            <w:rFonts w:ascii="Cambria Math" w:hAnsi="Cambria Math" w:cs="Times New Roman"/>
            <w:szCs w:val="24"/>
            <w:lang w:val="en-GB"/>
          </w:rPr>
          <m:t>→max</m:t>
        </m:r>
      </m:oMath>
      <w:r w:rsidR="001F6F4B">
        <w:rPr>
          <w:rFonts w:eastAsiaTheme="minorEastAsia" w:cs="Times New Roman"/>
          <w:szCs w:val="24"/>
          <w:lang w:val="en-GB"/>
        </w:rPr>
        <w:tab/>
      </w:r>
      <w:r w:rsidR="001F6F4B">
        <w:rPr>
          <w:rFonts w:eastAsiaTheme="minorEastAsia" w:cs="Times New Roman"/>
          <w:szCs w:val="24"/>
          <w:lang w:val="en-GB"/>
        </w:rPr>
        <w:tab/>
      </w:r>
      <w:r w:rsidR="001F6F4B">
        <w:rPr>
          <w:rFonts w:eastAsiaTheme="minorEastAsia" w:cs="Times New Roman"/>
          <w:szCs w:val="24"/>
          <w:lang w:val="en-GB"/>
        </w:rPr>
        <w:tab/>
      </w:r>
      <w:r w:rsidR="000A2B62" w:rsidRPr="003E540C">
        <w:rPr>
          <w:rFonts w:cs="Times New Roman"/>
          <w:szCs w:val="24"/>
          <w:lang w:val="en-GB"/>
        </w:rPr>
        <w:tab/>
      </w:r>
      <w:r w:rsidR="000A2B62" w:rsidRPr="003E540C">
        <w:rPr>
          <w:rFonts w:cs="Times New Roman"/>
          <w:szCs w:val="24"/>
          <w:lang w:val="en-GB"/>
        </w:rPr>
        <w:tab/>
        <w:t>(2)</w:t>
      </w:r>
    </w:p>
    <w:p w:rsidR="001F6F4B" w:rsidRPr="001F6F4B" w:rsidRDefault="001F6F4B" w:rsidP="001F6F4B">
      <w:pPr>
        <w:autoSpaceDE w:val="0"/>
        <w:autoSpaceDN w:val="0"/>
        <w:adjustRightInd w:val="0"/>
        <w:spacing w:line="480" w:lineRule="auto"/>
        <w:jc w:val="center"/>
        <w:rPr>
          <w:rFonts w:cs="Times New Roman"/>
          <w:szCs w:val="24"/>
          <w:lang w:val="en-GB"/>
        </w:rPr>
      </w:pPr>
    </w:p>
    <w:p w:rsidR="009554EF" w:rsidRPr="003E540C" w:rsidRDefault="000E1068" w:rsidP="009554EF">
      <w:pPr>
        <w:spacing w:line="480" w:lineRule="auto"/>
        <w:rPr>
          <w:rFonts w:cs="Times New Roman"/>
          <w:color w:val="000000" w:themeColor="text1"/>
          <w:szCs w:val="24"/>
          <w:lang w:val="en-GB"/>
        </w:rPr>
      </w:pPr>
      <w:r w:rsidRPr="000E1068">
        <w:rPr>
          <w:rFonts w:cs="Arial"/>
          <w:lang w:val="en-GB"/>
        </w:rPr>
        <w:t xml:space="preserve"> </w:t>
      </w:r>
      <w:r w:rsidR="000B3FE9">
        <w:rPr>
          <w:rFonts w:cs="Times New Roman"/>
          <w:szCs w:val="24"/>
          <w:lang w:val="en-GB"/>
        </w:rPr>
        <w:tab/>
        <w:t>Using the Sharpe ratio for the diversification potential assessment on</w:t>
      </w:r>
      <w:r w:rsidR="00CE648A">
        <w:rPr>
          <w:rFonts w:cs="Times New Roman"/>
          <w:szCs w:val="24"/>
          <w:lang w:val="en-GB"/>
        </w:rPr>
        <w:t>e</w:t>
      </w:r>
      <w:r w:rsidR="000B3FE9">
        <w:rPr>
          <w:rFonts w:cs="Times New Roman"/>
          <w:szCs w:val="24"/>
          <w:lang w:val="en-GB"/>
        </w:rPr>
        <w:t xml:space="preserve"> shortcoming emerges, however. We</w:t>
      </w:r>
      <w:r w:rsidR="0018102E" w:rsidRPr="00F3586E">
        <w:rPr>
          <w:rFonts w:cs="Times New Roman"/>
          <w:szCs w:val="24"/>
          <w:lang w:val="en-GB"/>
        </w:rPr>
        <w:t xml:space="preserve"> need </w:t>
      </w:r>
      <w:r w:rsidR="000B3FE9">
        <w:rPr>
          <w:rFonts w:cs="Times New Roman"/>
          <w:szCs w:val="24"/>
          <w:lang w:val="en-GB"/>
        </w:rPr>
        <w:t>to</w:t>
      </w:r>
      <w:r w:rsidR="0018102E" w:rsidRPr="00F3586E">
        <w:rPr>
          <w:rFonts w:cs="Times New Roman"/>
          <w:szCs w:val="24"/>
          <w:lang w:val="en-GB"/>
        </w:rPr>
        <w:t xml:space="preserve"> </w:t>
      </w:r>
      <w:r w:rsidR="000B3FE9">
        <w:rPr>
          <w:rFonts w:cs="Times New Roman"/>
          <w:szCs w:val="24"/>
          <w:lang w:val="en-GB"/>
        </w:rPr>
        <w:t xml:space="preserve">employ </w:t>
      </w:r>
      <w:r w:rsidR="00A92AFA" w:rsidRPr="00F3586E">
        <w:rPr>
          <w:rFonts w:cs="Times New Roman"/>
          <w:szCs w:val="24"/>
          <w:lang w:val="en-GB"/>
        </w:rPr>
        <w:t xml:space="preserve">the expected </w:t>
      </w:r>
      <w:r w:rsidR="0018102E" w:rsidRPr="00F3586E">
        <w:rPr>
          <w:rFonts w:cs="Times New Roman"/>
          <w:szCs w:val="24"/>
          <w:lang w:val="en-GB"/>
        </w:rPr>
        <w:t xml:space="preserve">values, especially </w:t>
      </w:r>
      <w:r w:rsidR="00A92AFA" w:rsidRPr="00F3586E">
        <w:rPr>
          <w:rFonts w:cs="Times New Roman"/>
          <w:szCs w:val="24"/>
          <w:lang w:val="en-GB"/>
        </w:rPr>
        <w:t xml:space="preserve">the </w:t>
      </w:r>
      <w:r w:rsidR="00BF47A7" w:rsidRPr="00F3586E">
        <w:rPr>
          <w:rFonts w:cs="Times New Roman"/>
          <w:szCs w:val="24"/>
          <w:lang w:val="en-GB"/>
        </w:rPr>
        <w:t>expected returns</w:t>
      </w:r>
      <w:r w:rsidR="000B3FE9">
        <w:rPr>
          <w:rFonts w:cs="Times New Roman"/>
          <w:szCs w:val="24"/>
          <w:lang w:val="en-GB"/>
        </w:rPr>
        <w:t xml:space="preserve"> are the </w:t>
      </w:r>
      <w:r w:rsidR="00BF47A7" w:rsidRPr="00F3586E">
        <w:rPr>
          <w:rFonts w:cs="Times New Roman"/>
          <w:szCs w:val="24"/>
          <w:lang w:val="en-GB"/>
        </w:rPr>
        <w:t>. Frequently, the</w:t>
      </w:r>
      <w:r w:rsidR="00BF47A7" w:rsidRPr="003E540C">
        <w:rPr>
          <w:rFonts w:cs="Times New Roman"/>
          <w:szCs w:val="24"/>
          <w:lang w:val="en-GB"/>
        </w:rPr>
        <w:t xml:space="preserve"> mean values of realized returns over the long periods are taken as the expected ones. The standard argument in favour of this approach </w:t>
      </w:r>
      <w:r w:rsidR="006C439C" w:rsidRPr="003E540C">
        <w:rPr>
          <w:rFonts w:cs="Times New Roman"/>
          <w:szCs w:val="24"/>
          <w:lang w:val="en-GB"/>
        </w:rPr>
        <w:t>states</w:t>
      </w:r>
      <w:r w:rsidR="00BF47A7" w:rsidRPr="003E540C">
        <w:rPr>
          <w:rFonts w:cs="Times New Roman"/>
          <w:szCs w:val="24"/>
          <w:lang w:val="en-GB"/>
        </w:rPr>
        <w:t xml:space="preserve"> that expectations are on ave</w:t>
      </w:r>
      <w:r w:rsidR="00C72C2D" w:rsidRPr="003E540C">
        <w:rPr>
          <w:rFonts w:cs="Times New Roman"/>
          <w:szCs w:val="24"/>
          <w:lang w:val="en-GB"/>
        </w:rPr>
        <w:t>rage, and on the whole, correct (Elton</w:t>
      </w:r>
      <w:r w:rsidR="00716B66">
        <w:rPr>
          <w:rFonts w:cs="Times New Roman"/>
          <w:szCs w:val="24"/>
          <w:lang w:val="en-GB"/>
        </w:rPr>
        <w:t xml:space="preserve"> </w:t>
      </w:r>
      <w:r w:rsidR="00716B66" w:rsidRPr="00716B66">
        <w:rPr>
          <w:rFonts w:cs="Times New Roman"/>
          <w:i/>
          <w:szCs w:val="24"/>
          <w:lang w:val="en-GB"/>
        </w:rPr>
        <w:t>et al.</w:t>
      </w:r>
      <w:r w:rsidR="00716B66">
        <w:rPr>
          <w:rFonts w:cs="Times New Roman"/>
          <w:szCs w:val="24"/>
          <w:lang w:val="en-GB"/>
        </w:rPr>
        <w:t>,</w:t>
      </w:r>
      <w:r w:rsidR="00811CC5">
        <w:rPr>
          <w:rFonts w:cs="Times New Roman"/>
          <w:szCs w:val="24"/>
          <w:lang w:val="en-GB"/>
        </w:rPr>
        <w:t xml:space="preserve"> 1995, p.</w:t>
      </w:r>
      <w:r w:rsidR="00C72C2D" w:rsidRPr="003E540C">
        <w:rPr>
          <w:rFonts w:cs="Times New Roman"/>
          <w:szCs w:val="24"/>
          <w:lang w:val="en-GB"/>
        </w:rPr>
        <w:t xml:space="preserve"> 339). </w:t>
      </w:r>
      <w:r w:rsidR="00A1727C" w:rsidRPr="003E540C">
        <w:rPr>
          <w:rFonts w:cs="Times New Roman"/>
          <w:szCs w:val="24"/>
          <w:lang w:val="en-GB"/>
        </w:rPr>
        <w:t>Unfortunately</w:t>
      </w:r>
      <w:r w:rsidR="00C72C2D" w:rsidRPr="003E540C">
        <w:rPr>
          <w:rFonts w:cs="Times New Roman"/>
          <w:szCs w:val="24"/>
          <w:lang w:val="en-GB"/>
        </w:rPr>
        <w:t xml:space="preserve"> in the last years, due to the global financial market </w:t>
      </w:r>
      <w:r w:rsidR="006C439C" w:rsidRPr="003E540C">
        <w:rPr>
          <w:rFonts w:cs="Times New Roman"/>
          <w:szCs w:val="24"/>
          <w:lang w:val="en-GB"/>
        </w:rPr>
        <w:t>meltdown</w:t>
      </w:r>
      <w:r w:rsidR="00C72C2D" w:rsidRPr="003E540C">
        <w:rPr>
          <w:rFonts w:cs="Times New Roman"/>
          <w:szCs w:val="24"/>
          <w:lang w:val="en-GB"/>
        </w:rPr>
        <w:t xml:space="preserve">, this method may not work. In our study, </w:t>
      </w:r>
      <w:r w:rsidR="00C72C2D" w:rsidRPr="003E540C">
        <w:rPr>
          <w:rFonts w:cs="Times New Roman"/>
          <w:color w:val="000000" w:themeColor="text1"/>
          <w:szCs w:val="24"/>
          <w:lang w:val="en-GB"/>
        </w:rPr>
        <w:t xml:space="preserve">if we were to estimate the expected returns as the average returns from our sample period, in some of the cases we would </w:t>
      </w:r>
      <w:r w:rsidR="00C72C2D" w:rsidRPr="003E540C">
        <w:rPr>
          <w:rFonts w:cs="Times New Roman"/>
          <w:color w:val="000000" w:themeColor="text1"/>
          <w:szCs w:val="24"/>
          <w:lang w:val="en-GB"/>
        </w:rPr>
        <w:lastRenderedPageBreak/>
        <w:t>find the returns of risky assets lower than the risk free rate or even negative</w:t>
      </w:r>
      <w:r w:rsidR="00A1727C" w:rsidRPr="003E540C">
        <w:rPr>
          <w:rFonts w:cs="Times New Roman"/>
          <w:color w:val="000000" w:themeColor="text1"/>
          <w:szCs w:val="24"/>
          <w:lang w:val="en-GB"/>
        </w:rPr>
        <w:t>.</w:t>
      </w:r>
      <w:r w:rsidR="00C72C2D" w:rsidRPr="003E540C">
        <w:rPr>
          <w:rFonts w:cs="Times New Roman"/>
          <w:color w:val="000000" w:themeColor="text1"/>
          <w:szCs w:val="24"/>
          <w:lang w:val="en-GB"/>
        </w:rPr>
        <w:t xml:space="preserve"> Clearly, these estimates would seriously flaw MPT, because in such</w:t>
      </w:r>
      <w:r w:rsidR="005E26E6">
        <w:rPr>
          <w:rFonts w:cs="Times New Roman"/>
          <w:color w:val="000000" w:themeColor="text1"/>
          <w:szCs w:val="24"/>
          <w:lang w:val="en-GB"/>
        </w:rPr>
        <w:t xml:space="preserve"> a</w:t>
      </w:r>
      <w:r w:rsidR="00C72C2D" w:rsidRPr="003E540C">
        <w:rPr>
          <w:rFonts w:cs="Times New Roman"/>
          <w:color w:val="000000" w:themeColor="text1"/>
          <w:szCs w:val="24"/>
          <w:lang w:val="en-GB"/>
        </w:rPr>
        <w:t xml:space="preserve"> case</w:t>
      </w:r>
      <w:r w:rsidR="00A1727C" w:rsidRPr="003E540C">
        <w:rPr>
          <w:rFonts w:cs="Times New Roman"/>
          <w:color w:val="000000" w:themeColor="text1"/>
          <w:szCs w:val="24"/>
          <w:lang w:val="en-GB"/>
        </w:rPr>
        <w:t xml:space="preserve"> a</w:t>
      </w:r>
      <w:r w:rsidR="00C72C2D" w:rsidRPr="003E540C">
        <w:rPr>
          <w:rFonts w:cs="Times New Roman"/>
          <w:color w:val="000000" w:themeColor="text1"/>
          <w:szCs w:val="24"/>
          <w:lang w:val="en-GB"/>
        </w:rPr>
        <w:t xml:space="preserve"> risk-averse investors should not take </w:t>
      </w:r>
      <w:r w:rsidR="00716B66">
        <w:rPr>
          <w:rFonts w:cs="Times New Roman"/>
          <w:color w:val="000000" w:themeColor="text1"/>
          <w:szCs w:val="24"/>
          <w:lang w:val="en-GB"/>
        </w:rPr>
        <w:t xml:space="preserve">any </w:t>
      </w:r>
      <w:r w:rsidR="00C72C2D" w:rsidRPr="003E540C">
        <w:rPr>
          <w:rFonts w:cs="Times New Roman"/>
          <w:color w:val="000000" w:themeColor="text1"/>
          <w:szCs w:val="24"/>
          <w:lang w:val="en-GB"/>
        </w:rPr>
        <w:t xml:space="preserve">long position in </w:t>
      </w:r>
      <w:r w:rsidR="00716B66">
        <w:rPr>
          <w:rFonts w:cs="Times New Roman"/>
          <w:color w:val="000000" w:themeColor="text1"/>
          <w:szCs w:val="24"/>
          <w:lang w:val="en-GB"/>
        </w:rPr>
        <w:t>the risky assets.</w:t>
      </w:r>
      <w:r w:rsidR="000B3FE9">
        <w:rPr>
          <w:rFonts w:cs="Times New Roman"/>
          <w:color w:val="000000" w:themeColor="text1"/>
          <w:szCs w:val="24"/>
          <w:lang w:val="en-GB"/>
        </w:rPr>
        <w:t xml:space="preserve"> It is also debatable if it is possible to rank portfolios </w:t>
      </w:r>
      <w:r w:rsidR="00CE648A">
        <w:rPr>
          <w:rFonts w:cs="Times New Roman"/>
          <w:color w:val="000000" w:themeColor="text1"/>
          <w:szCs w:val="24"/>
          <w:lang w:val="en-GB"/>
        </w:rPr>
        <w:t>with the negative Sharpe ratio scores.</w:t>
      </w:r>
      <w:r w:rsidR="00716B66">
        <w:rPr>
          <w:rFonts w:cs="Times New Roman"/>
          <w:color w:val="000000" w:themeColor="text1"/>
          <w:szCs w:val="24"/>
          <w:lang w:val="en-GB"/>
        </w:rPr>
        <w:t xml:space="preserve"> </w:t>
      </w:r>
      <w:r w:rsidR="00C72C2D" w:rsidRPr="003E540C">
        <w:rPr>
          <w:rFonts w:cs="Times New Roman"/>
          <w:color w:val="000000" w:themeColor="text1"/>
          <w:szCs w:val="24"/>
          <w:lang w:val="en-GB"/>
        </w:rPr>
        <w:t xml:space="preserve">Finally, following Merton </w:t>
      </w:r>
      <w:r w:rsidR="00716B66">
        <w:rPr>
          <w:rFonts w:cs="Times New Roman"/>
          <w:color w:val="000000" w:themeColor="text1"/>
          <w:szCs w:val="24"/>
          <w:lang w:val="en-GB"/>
        </w:rPr>
        <w:t>(1980)</w:t>
      </w:r>
      <w:r w:rsidR="00C72C2D" w:rsidRPr="003E540C">
        <w:rPr>
          <w:rFonts w:cs="Times New Roman"/>
          <w:color w:val="000000" w:themeColor="text1"/>
          <w:szCs w:val="24"/>
          <w:lang w:val="en-GB"/>
        </w:rPr>
        <w:t xml:space="preserve"> and </w:t>
      </w:r>
      <w:proofErr w:type="spellStart"/>
      <w:r w:rsidR="00C72C2D" w:rsidRPr="003E540C">
        <w:rPr>
          <w:rFonts w:cs="Times New Roman"/>
          <w:color w:val="000000" w:themeColor="text1"/>
          <w:szCs w:val="24"/>
          <w:lang w:val="en-GB"/>
        </w:rPr>
        <w:t>Jorion</w:t>
      </w:r>
      <w:proofErr w:type="spellEnd"/>
      <w:r w:rsidR="00C72C2D" w:rsidRPr="003E540C">
        <w:rPr>
          <w:rFonts w:cs="Times New Roman"/>
          <w:color w:val="000000" w:themeColor="text1"/>
          <w:szCs w:val="24"/>
          <w:lang w:val="en-GB"/>
        </w:rPr>
        <w:t xml:space="preserve"> </w:t>
      </w:r>
      <w:r w:rsidR="0092557F">
        <w:rPr>
          <w:rFonts w:cs="Times New Roman"/>
          <w:color w:val="000000" w:themeColor="text1"/>
          <w:szCs w:val="24"/>
          <w:lang w:val="en-GB"/>
        </w:rPr>
        <w:t xml:space="preserve">(1985), </w:t>
      </w:r>
      <w:proofErr w:type="spellStart"/>
      <w:r w:rsidR="0092557F">
        <w:rPr>
          <w:rFonts w:cs="Times New Roman"/>
          <w:color w:val="000000" w:themeColor="text1"/>
          <w:szCs w:val="24"/>
          <w:lang w:val="en-GB"/>
        </w:rPr>
        <w:t>Petrella</w:t>
      </w:r>
      <w:proofErr w:type="spellEnd"/>
      <w:r w:rsidR="0092557F">
        <w:rPr>
          <w:rFonts w:cs="Times New Roman"/>
          <w:color w:val="000000" w:themeColor="text1"/>
          <w:szCs w:val="24"/>
          <w:lang w:val="en-GB"/>
        </w:rPr>
        <w:t xml:space="preserve"> (2005)</w:t>
      </w:r>
      <w:r w:rsidR="00C72C2D" w:rsidRPr="003E540C">
        <w:rPr>
          <w:rFonts w:cs="Times New Roman"/>
          <w:color w:val="000000" w:themeColor="text1"/>
          <w:szCs w:val="24"/>
          <w:lang w:val="en-GB"/>
        </w:rPr>
        <w:t xml:space="preserve"> notes that the expected returns are more difficult to estimate than variance. For this reason we decided to </w:t>
      </w:r>
      <w:r w:rsidR="006C439C" w:rsidRPr="003E540C">
        <w:rPr>
          <w:rFonts w:cs="Times New Roman"/>
          <w:color w:val="000000" w:themeColor="text1"/>
          <w:szCs w:val="24"/>
          <w:lang w:val="en-GB"/>
        </w:rPr>
        <w:t>assess</w:t>
      </w:r>
      <w:r w:rsidR="00C72C2D" w:rsidRPr="003E540C">
        <w:rPr>
          <w:rFonts w:cs="Times New Roman"/>
          <w:color w:val="000000" w:themeColor="text1"/>
          <w:szCs w:val="24"/>
          <w:lang w:val="en-GB"/>
        </w:rPr>
        <w:t xml:space="preserve"> the diversification benefits in </w:t>
      </w:r>
      <w:r w:rsidR="006C439C" w:rsidRPr="003E540C">
        <w:rPr>
          <w:rFonts w:cs="Times New Roman"/>
          <w:color w:val="000000" w:themeColor="text1"/>
          <w:szCs w:val="24"/>
          <w:lang w:val="en-GB"/>
        </w:rPr>
        <w:t xml:space="preserve">a </w:t>
      </w:r>
      <w:r w:rsidR="00C72C2D" w:rsidRPr="003E540C">
        <w:rPr>
          <w:rFonts w:cs="Times New Roman"/>
          <w:color w:val="000000" w:themeColor="text1"/>
          <w:szCs w:val="24"/>
          <w:lang w:val="en-GB"/>
        </w:rPr>
        <w:t xml:space="preserve">rather non-mainstream </w:t>
      </w:r>
      <w:r w:rsidR="006C439C" w:rsidRPr="003E540C">
        <w:rPr>
          <w:rFonts w:cs="Times New Roman"/>
          <w:color w:val="000000" w:themeColor="text1"/>
          <w:szCs w:val="24"/>
          <w:lang w:val="en-GB"/>
        </w:rPr>
        <w:t>way.</w:t>
      </w:r>
      <w:r w:rsidR="00C72C2D" w:rsidRPr="003E540C">
        <w:rPr>
          <w:rFonts w:cs="Times New Roman"/>
          <w:color w:val="000000" w:themeColor="text1"/>
          <w:szCs w:val="24"/>
          <w:lang w:val="en-GB"/>
        </w:rPr>
        <w:t xml:space="preserve"> </w:t>
      </w:r>
    </w:p>
    <w:p w:rsidR="0092557F" w:rsidRDefault="00C72C2D" w:rsidP="009554EF">
      <w:pPr>
        <w:spacing w:line="480" w:lineRule="auto"/>
        <w:rPr>
          <w:rFonts w:cs="Times New Roman"/>
          <w:color w:val="000000" w:themeColor="text1"/>
          <w:szCs w:val="24"/>
          <w:lang w:val="en-GB"/>
        </w:rPr>
      </w:pPr>
      <w:r w:rsidRPr="003E540C">
        <w:rPr>
          <w:rFonts w:cs="Times New Roman"/>
          <w:color w:val="000000" w:themeColor="text1"/>
          <w:szCs w:val="24"/>
          <w:lang w:val="en-GB"/>
        </w:rPr>
        <w:tab/>
      </w:r>
      <w:r w:rsidR="00047D4E" w:rsidRPr="003E540C">
        <w:rPr>
          <w:rFonts w:cs="Times New Roman"/>
          <w:color w:val="000000" w:themeColor="text1"/>
          <w:szCs w:val="24"/>
          <w:lang w:val="en-GB"/>
        </w:rPr>
        <w:t>Let’s define the</w:t>
      </w:r>
      <w:r w:rsidRPr="003E540C">
        <w:rPr>
          <w:rFonts w:cs="Times New Roman"/>
          <w:color w:val="000000" w:themeColor="text1"/>
          <w:szCs w:val="24"/>
          <w:lang w:val="en-GB"/>
        </w:rPr>
        <w:t xml:space="preserve"> minimum variance portfolio (MVP) as the one that minimizes portfolio returns standard deviation: </w:t>
      </w:r>
    </w:p>
    <w:p w:rsidR="0092557F" w:rsidRPr="003E540C" w:rsidRDefault="0092557F" w:rsidP="009554EF">
      <w:pPr>
        <w:spacing w:line="480" w:lineRule="auto"/>
        <w:rPr>
          <w:rFonts w:cs="Times New Roman"/>
          <w:color w:val="000000" w:themeColor="text1"/>
          <w:szCs w:val="24"/>
          <w:lang w:val="en-GB"/>
        </w:rPr>
      </w:pPr>
    </w:p>
    <w:p w:rsidR="00C72C2D" w:rsidRPr="003E540C" w:rsidRDefault="00A467C7" w:rsidP="0092557F">
      <w:pPr>
        <w:spacing w:line="480" w:lineRule="auto"/>
        <w:rPr>
          <w:rFonts w:cs="Times New Roman"/>
          <w:szCs w:val="24"/>
          <w:lang w:val="en-GB"/>
        </w:rPr>
      </w:pPr>
      <m:oMath>
        <m:sSub>
          <m:sSubPr>
            <m:ctrlPr>
              <w:rPr>
                <w:rFonts w:ascii="Cambria Math" w:hAnsi="Cambria Math" w:cs="Times New Roman"/>
                <w:i/>
                <w:szCs w:val="24"/>
                <w:lang w:val="en-GB"/>
              </w:rPr>
            </m:ctrlPr>
          </m:sSubPr>
          <m:e>
            <m:r>
              <w:rPr>
                <w:rFonts w:ascii="Cambria Math" w:hAnsi="Cambria Math" w:cs="Times New Roman"/>
                <w:szCs w:val="24"/>
                <w:lang w:val="en-GB"/>
              </w:rPr>
              <m:t>s</m:t>
            </m:r>
          </m:e>
          <m:sub>
            <m:r>
              <w:rPr>
                <w:rFonts w:ascii="Cambria Math" w:hAnsi="Cambria Math" w:cs="Times New Roman"/>
                <w:szCs w:val="24"/>
                <w:lang w:val="en-GB"/>
              </w:rPr>
              <m:t>p</m:t>
            </m:r>
          </m:sub>
        </m:sSub>
        <m:r>
          <w:rPr>
            <w:rFonts w:ascii="Cambria Math" w:cs="Times New Roman"/>
            <w:szCs w:val="24"/>
            <w:lang w:val="en-GB"/>
          </w:rPr>
          <m:t>=</m:t>
        </m:r>
        <m:rad>
          <m:radPr>
            <m:degHide m:val="1"/>
            <m:ctrlPr>
              <w:rPr>
                <w:rFonts w:ascii="Cambria Math" w:hAnsi="Cambria Math" w:cs="Times New Roman"/>
                <w:i/>
                <w:szCs w:val="24"/>
                <w:lang w:val="en-GB"/>
              </w:rPr>
            </m:ctrlPr>
          </m:radPr>
          <m:deg/>
          <m:e>
            <m:sSub>
              <m:sSubPr>
                <m:ctrlPr>
                  <w:rPr>
                    <w:rFonts w:ascii="Cambria Math" w:hAnsi="Cambria Math" w:cs="Times New Roman"/>
                    <w:i/>
                    <w:szCs w:val="24"/>
                    <w:lang w:val="en-GB"/>
                  </w:rPr>
                </m:ctrlPr>
              </m:sSubPr>
              <m:e>
                <m:r>
                  <w:rPr>
                    <w:rFonts w:ascii="Cambria Math" w:hAnsi="Cambria Math" w:cs="Times New Roman"/>
                    <w:szCs w:val="24"/>
                    <w:lang w:val="en-GB"/>
                  </w:rPr>
                  <m:t>V</m:t>
                </m:r>
              </m:e>
              <m:sub>
                <m:r>
                  <w:rPr>
                    <w:rFonts w:ascii="Cambria Math" w:hAnsi="Cambria Math" w:cs="Times New Roman"/>
                    <w:szCs w:val="24"/>
                    <w:lang w:val="en-GB"/>
                  </w:rPr>
                  <m:t>p</m:t>
                </m:r>
              </m:sub>
            </m:sSub>
          </m:e>
        </m:rad>
        <m:r>
          <w:rPr>
            <w:rFonts w:ascii="Cambria Math" w:cs="Times New Roman"/>
            <w:szCs w:val="24"/>
            <w:lang w:val="en-GB"/>
          </w:rPr>
          <m:t>=</m:t>
        </m:r>
        <m:rad>
          <m:radPr>
            <m:degHide m:val="1"/>
            <m:ctrlPr>
              <w:rPr>
                <w:rFonts w:ascii="Cambria Math" w:hAnsi="Cambria Math" w:cs="Times New Roman"/>
                <w:i/>
                <w:szCs w:val="24"/>
                <w:lang w:val="en-GB"/>
              </w:rPr>
            </m:ctrlPr>
          </m:radPr>
          <m:deg/>
          <m:e>
            <m:nary>
              <m:naryPr>
                <m:chr m:val="∑"/>
                <m:limLoc m:val="undOvr"/>
                <m:ctrlPr>
                  <w:rPr>
                    <w:rFonts w:ascii="Cambria Math" w:hAnsi="Cambria Math" w:cs="Times New Roman"/>
                    <w:i/>
                    <w:szCs w:val="24"/>
                    <w:lang w:val="en-GB"/>
                  </w:rPr>
                </m:ctrlPr>
              </m:naryPr>
              <m:sub>
                <m:r>
                  <w:rPr>
                    <w:rFonts w:ascii="Cambria Math" w:hAnsi="Cambria Math" w:cs="Times New Roman"/>
                    <w:szCs w:val="24"/>
                    <w:lang w:val="en-GB"/>
                  </w:rPr>
                  <m:t>i</m:t>
                </m:r>
                <m:r>
                  <w:rPr>
                    <w:rFonts w:ascii="Cambria Math" w:cs="Times New Roman"/>
                    <w:szCs w:val="24"/>
                    <w:lang w:val="en-GB"/>
                  </w:rPr>
                  <m:t>=1</m:t>
                </m:r>
              </m:sub>
              <m:sup>
                <m:r>
                  <w:rPr>
                    <w:rFonts w:ascii="Cambria Math" w:hAnsi="Cambria Math" w:cs="Times New Roman"/>
                    <w:szCs w:val="24"/>
                    <w:lang w:val="en-GB"/>
                  </w:rPr>
                  <m:t>N</m:t>
                </m:r>
              </m:sup>
              <m:e>
                <m:sSubSup>
                  <m:sSubSupPr>
                    <m:ctrlPr>
                      <w:rPr>
                        <w:rFonts w:ascii="Cambria Math" w:hAnsi="Cambria Math" w:cs="Times New Roman"/>
                        <w:i/>
                        <w:szCs w:val="24"/>
                        <w:lang w:val="en-GB"/>
                      </w:rPr>
                    </m:ctrlPr>
                  </m:sSubSupPr>
                  <m:e>
                    <m:r>
                      <w:rPr>
                        <w:rFonts w:ascii="Cambria Math" w:hAnsi="Cambria Math" w:cs="Times New Roman"/>
                        <w:szCs w:val="24"/>
                        <w:lang w:val="en-GB"/>
                      </w:rPr>
                      <m:t>w</m:t>
                    </m:r>
                  </m:e>
                  <m:sub>
                    <m:r>
                      <w:rPr>
                        <w:rFonts w:ascii="Cambria Math" w:hAnsi="Cambria Math" w:cs="Times New Roman"/>
                        <w:szCs w:val="24"/>
                        <w:lang w:val="en-GB"/>
                      </w:rPr>
                      <m:t>i</m:t>
                    </m:r>
                  </m:sub>
                  <m:sup>
                    <m:r>
                      <w:rPr>
                        <w:rFonts w:ascii="Cambria Math" w:cs="Times New Roman"/>
                        <w:szCs w:val="24"/>
                        <w:lang w:val="en-GB"/>
                      </w:rPr>
                      <m:t>2</m:t>
                    </m:r>
                  </m:sup>
                </m:sSubSup>
                <m:sSubSup>
                  <m:sSubSupPr>
                    <m:ctrlPr>
                      <w:rPr>
                        <w:rFonts w:ascii="Cambria Math" w:hAnsi="Cambria Math" w:cs="Times New Roman"/>
                        <w:i/>
                        <w:szCs w:val="24"/>
                        <w:lang w:val="en-GB"/>
                      </w:rPr>
                    </m:ctrlPr>
                  </m:sSubSupPr>
                  <m:e>
                    <m:r>
                      <w:rPr>
                        <w:rFonts w:ascii="Cambria Math" w:hAnsi="Cambria Math" w:cs="Times New Roman"/>
                        <w:szCs w:val="24"/>
                        <w:lang w:val="en-GB"/>
                      </w:rPr>
                      <m:t>s</m:t>
                    </m:r>
                  </m:e>
                  <m:sub>
                    <m:r>
                      <w:rPr>
                        <w:rFonts w:ascii="Cambria Math" w:hAnsi="Cambria Math" w:cs="Times New Roman"/>
                        <w:szCs w:val="24"/>
                        <w:lang w:val="en-GB"/>
                      </w:rPr>
                      <m:t>i</m:t>
                    </m:r>
                  </m:sub>
                  <m:sup>
                    <m:r>
                      <w:rPr>
                        <w:rFonts w:ascii="Cambria Math" w:cs="Times New Roman"/>
                        <w:szCs w:val="24"/>
                        <w:lang w:val="en-GB"/>
                      </w:rPr>
                      <m:t>2</m:t>
                    </m:r>
                  </m:sup>
                </m:sSubSup>
                <m:r>
                  <w:rPr>
                    <w:rFonts w:ascii="Cambria Math" w:cs="Times New Roman"/>
                    <w:szCs w:val="24"/>
                    <w:lang w:val="en-GB"/>
                  </w:rPr>
                  <m:t>+2</m:t>
                </m:r>
              </m:e>
            </m:nary>
            <m:nary>
              <m:naryPr>
                <m:chr m:val="∑"/>
                <m:limLoc m:val="undOvr"/>
                <m:ctrlPr>
                  <w:rPr>
                    <w:rFonts w:ascii="Cambria Math" w:hAnsi="Cambria Math" w:cs="Times New Roman"/>
                    <w:i/>
                    <w:szCs w:val="24"/>
                    <w:lang w:val="en-GB"/>
                  </w:rPr>
                </m:ctrlPr>
              </m:naryPr>
              <m:sub>
                <m:r>
                  <w:rPr>
                    <w:rFonts w:ascii="Cambria Math" w:hAnsi="Cambria Math" w:cs="Times New Roman"/>
                    <w:szCs w:val="24"/>
                    <w:lang w:val="en-GB"/>
                  </w:rPr>
                  <m:t>i</m:t>
                </m:r>
                <m:r>
                  <w:rPr>
                    <w:rFonts w:ascii="Cambria Math" w:cs="Times New Roman"/>
                    <w:szCs w:val="24"/>
                    <w:lang w:val="en-GB"/>
                  </w:rPr>
                  <m:t>=1</m:t>
                </m:r>
              </m:sub>
              <m:sup>
                <m:r>
                  <w:rPr>
                    <w:rFonts w:ascii="Cambria Math" w:hAnsi="Cambria Math" w:cs="Times New Roman"/>
                    <w:szCs w:val="24"/>
                    <w:lang w:val="en-GB"/>
                  </w:rPr>
                  <m:t>N-</m:t>
                </m:r>
                <m:r>
                  <w:rPr>
                    <w:rFonts w:ascii="Cambria Math" w:cs="Times New Roman"/>
                    <w:szCs w:val="24"/>
                    <w:lang w:val="en-GB"/>
                  </w:rPr>
                  <m:t>1</m:t>
                </m:r>
              </m:sup>
              <m:e>
                <m:nary>
                  <m:naryPr>
                    <m:chr m:val="∑"/>
                    <m:limLoc m:val="undOvr"/>
                    <m:ctrlPr>
                      <w:rPr>
                        <w:rFonts w:ascii="Cambria Math" w:hAnsi="Cambria Math" w:cs="Times New Roman"/>
                        <w:i/>
                        <w:szCs w:val="24"/>
                        <w:lang w:val="en-GB"/>
                      </w:rPr>
                    </m:ctrlPr>
                  </m:naryPr>
                  <m:sub>
                    <m:r>
                      <w:rPr>
                        <w:rFonts w:ascii="Cambria Math" w:hAnsi="Cambria Math" w:cs="Times New Roman"/>
                        <w:szCs w:val="24"/>
                        <w:lang w:val="en-GB"/>
                      </w:rPr>
                      <m:t>j</m:t>
                    </m:r>
                    <m:r>
                      <w:rPr>
                        <w:rFonts w:ascii="Cambria Math" w:cs="Times New Roman"/>
                        <w:szCs w:val="24"/>
                        <w:lang w:val="en-GB"/>
                      </w:rPr>
                      <m:t>=1</m:t>
                    </m:r>
                  </m:sub>
                  <m:sup>
                    <m:r>
                      <w:rPr>
                        <w:rFonts w:ascii="Cambria Math" w:hAnsi="Cambria Math" w:cs="Times New Roman"/>
                        <w:szCs w:val="24"/>
                        <w:lang w:val="en-GB"/>
                      </w:rPr>
                      <m:t>N</m:t>
                    </m:r>
                  </m:sup>
                  <m:e>
                    <m:sSub>
                      <m:sSubPr>
                        <m:ctrlPr>
                          <w:rPr>
                            <w:rFonts w:ascii="Cambria Math" w:hAnsi="Cambria Math" w:cs="Times New Roman"/>
                            <w:i/>
                            <w:szCs w:val="24"/>
                            <w:lang w:val="en-GB"/>
                          </w:rPr>
                        </m:ctrlPr>
                      </m:sSubPr>
                      <m:e>
                        <m:r>
                          <w:rPr>
                            <w:rFonts w:ascii="Cambria Math" w:hAnsi="Cambria Math" w:cs="Times New Roman"/>
                            <w:szCs w:val="24"/>
                            <w:lang w:val="en-GB"/>
                          </w:rPr>
                          <m:t>w</m:t>
                        </m:r>
                      </m:e>
                      <m:sub>
                        <m:r>
                          <w:rPr>
                            <w:rFonts w:ascii="Cambria Math" w:hAnsi="Cambria Math" w:cs="Times New Roman"/>
                            <w:szCs w:val="24"/>
                            <w:lang w:val="en-GB"/>
                          </w:rPr>
                          <m:t>i</m:t>
                        </m:r>
                      </m:sub>
                    </m:sSub>
                    <m:sSub>
                      <m:sSubPr>
                        <m:ctrlPr>
                          <w:rPr>
                            <w:rFonts w:ascii="Cambria Math" w:hAnsi="Cambria Math" w:cs="Times New Roman"/>
                            <w:i/>
                            <w:szCs w:val="24"/>
                            <w:lang w:val="en-GB"/>
                          </w:rPr>
                        </m:ctrlPr>
                      </m:sSubPr>
                      <m:e>
                        <m:r>
                          <w:rPr>
                            <w:rFonts w:ascii="Cambria Math" w:hAnsi="Cambria Math" w:cs="Times New Roman"/>
                            <w:szCs w:val="24"/>
                            <w:lang w:val="en-GB"/>
                          </w:rPr>
                          <m:t>w</m:t>
                        </m:r>
                      </m:e>
                      <m:sub>
                        <m:r>
                          <w:rPr>
                            <w:rFonts w:ascii="Cambria Math" w:hAnsi="Cambria Math" w:cs="Times New Roman"/>
                            <w:szCs w:val="24"/>
                            <w:lang w:val="en-GB"/>
                          </w:rPr>
                          <m:t>j</m:t>
                        </m:r>
                      </m:sub>
                    </m:sSub>
                  </m:e>
                </m:nary>
              </m:e>
            </m:nary>
            <m:sSub>
              <m:sSubPr>
                <m:ctrlPr>
                  <w:rPr>
                    <w:rFonts w:ascii="Cambria Math" w:hAnsi="Cambria Math" w:cs="Times New Roman"/>
                    <w:i/>
                    <w:szCs w:val="24"/>
                    <w:lang w:val="en-GB"/>
                  </w:rPr>
                </m:ctrlPr>
              </m:sSubPr>
              <m:e>
                <m:r>
                  <w:rPr>
                    <w:rFonts w:ascii="Cambria Math" w:hAnsi="Cambria Math" w:cs="Times New Roman"/>
                    <w:szCs w:val="24"/>
                    <w:lang w:val="en-GB"/>
                  </w:rPr>
                  <m:t>s</m:t>
                </m:r>
              </m:e>
              <m:sub>
                <m:r>
                  <w:rPr>
                    <w:rFonts w:ascii="Cambria Math" w:hAnsi="Cambria Math" w:cs="Times New Roman"/>
                    <w:szCs w:val="24"/>
                    <w:lang w:val="en-GB"/>
                  </w:rPr>
                  <m:t>i</m:t>
                </m:r>
              </m:sub>
            </m:sSub>
            <m:sSub>
              <m:sSubPr>
                <m:ctrlPr>
                  <w:rPr>
                    <w:rFonts w:ascii="Cambria Math" w:hAnsi="Cambria Math" w:cs="Times New Roman"/>
                    <w:i/>
                    <w:szCs w:val="24"/>
                    <w:lang w:val="en-GB"/>
                  </w:rPr>
                </m:ctrlPr>
              </m:sSubPr>
              <m:e>
                <m:r>
                  <w:rPr>
                    <w:rFonts w:ascii="Cambria Math" w:hAnsi="Cambria Math" w:cs="Times New Roman"/>
                    <w:szCs w:val="24"/>
                    <w:lang w:val="en-GB"/>
                  </w:rPr>
                  <m:t>s</m:t>
                </m:r>
              </m:e>
              <m:sub>
                <m:r>
                  <w:rPr>
                    <w:rFonts w:ascii="Cambria Math" w:hAnsi="Cambria Math" w:cs="Times New Roman"/>
                    <w:szCs w:val="24"/>
                    <w:lang w:val="en-GB"/>
                  </w:rPr>
                  <m:t>j</m:t>
                </m:r>
              </m:sub>
            </m:sSub>
            <m:sSub>
              <m:sSubPr>
                <m:ctrlPr>
                  <w:rPr>
                    <w:rFonts w:ascii="Cambria Math" w:hAnsi="Cambria Math" w:cs="Times New Roman"/>
                    <w:i/>
                    <w:szCs w:val="24"/>
                    <w:lang w:val="en-GB"/>
                  </w:rPr>
                </m:ctrlPr>
              </m:sSubPr>
              <m:e>
                <m:r>
                  <w:rPr>
                    <w:rFonts w:ascii="Cambria Math" w:hAnsi="Cambria Math" w:cs="Times New Roman"/>
                    <w:szCs w:val="24"/>
                    <w:lang w:val="en-GB"/>
                  </w:rPr>
                  <m:t>ρ</m:t>
                </m:r>
              </m:e>
              <m:sub>
                <m:r>
                  <w:rPr>
                    <w:rFonts w:ascii="Cambria Math" w:hAnsi="Cambria Math" w:cs="Times New Roman"/>
                    <w:szCs w:val="24"/>
                    <w:lang w:val="en-GB"/>
                  </w:rPr>
                  <m:t>ij</m:t>
                </m:r>
              </m:sub>
            </m:sSub>
          </m:e>
        </m:rad>
        <m:r>
          <w:rPr>
            <w:rFonts w:ascii="Cambria Math" w:hAnsi="Cambria Math" w:cs="Times New Roman"/>
            <w:szCs w:val="24"/>
            <w:lang w:val="en-GB"/>
          </w:rPr>
          <m:t>→min</m:t>
        </m:r>
      </m:oMath>
      <w:r w:rsidR="00C72C2D" w:rsidRPr="003E540C">
        <w:rPr>
          <w:rFonts w:cs="Times New Roman"/>
          <w:szCs w:val="24"/>
          <w:lang w:val="en-GB"/>
        </w:rPr>
        <w:tab/>
      </w:r>
      <w:r w:rsidR="0092557F">
        <w:rPr>
          <w:rFonts w:cs="Times New Roman"/>
          <w:szCs w:val="24"/>
          <w:lang w:val="en-GB"/>
        </w:rPr>
        <w:tab/>
      </w:r>
      <w:r w:rsidR="0092557F">
        <w:rPr>
          <w:rFonts w:cs="Times New Roman"/>
          <w:szCs w:val="24"/>
          <w:lang w:val="en-GB"/>
        </w:rPr>
        <w:tab/>
      </w:r>
      <w:r w:rsidR="00C72C2D" w:rsidRPr="003E540C">
        <w:rPr>
          <w:rFonts w:cs="Times New Roman"/>
          <w:szCs w:val="24"/>
          <w:lang w:val="en-GB"/>
        </w:rPr>
        <w:t>(</w:t>
      </w:r>
      <w:r w:rsidR="00E631D7">
        <w:rPr>
          <w:rFonts w:cs="Times New Roman"/>
          <w:szCs w:val="24"/>
          <w:lang w:val="en-GB"/>
        </w:rPr>
        <w:t>3</w:t>
      </w:r>
      <w:r w:rsidR="00C72C2D" w:rsidRPr="003E540C">
        <w:rPr>
          <w:rFonts w:cs="Times New Roman"/>
          <w:szCs w:val="24"/>
          <w:lang w:val="en-GB"/>
        </w:rPr>
        <w:t>)</w:t>
      </w:r>
    </w:p>
    <w:p w:rsidR="00145EA6" w:rsidRPr="003E540C" w:rsidRDefault="00145EA6" w:rsidP="009554EF">
      <w:pPr>
        <w:spacing w:line="480" w:lineRule="auto"/>
        <w:rPr>
          <w:rFonts w:cs="Times New Roman"/>
          <w:color w:val="000000" w:themeColor="text1"/>
          <w:szCs w:val="24"/>
          <w:lang w:val="en-GB"/>
        </w:rPr>
      </w:pPr>
    </w:p>
    <w:p w:rsidR="008E597D" w:rsidRPr="003E540C" w:rsidRDefault="00145EA6" w:rsidP="00145EA6">
      <w:pPr>
        <w:autoSpaceDE w:val="0"/>
        <w:autoSpaceDN w:val="0"/>
        <w:adjustRightInd w:val="0"/>
        <w:spacing w:line="480" w:lineRule="auto"/>
        <w:rPr>
          <w:rFonts w:cs="Times New Roman"/>
          <w:szCs w:val="24"/>
          <w:lang w:val="en-GB"/>
        </w:rPr>
      </w:pPr>
      <w:r w:rsidRPr="003E540C">
        <w:rPr>
          <w:rFonts w:cs="Times New Roman"/>
          <w:szCs w:val="24"/>
          <w:lang w:val="en-GB"/>
        </w:rPr>
        <w:t xml:space="preserve">where </w:t>
      </w:r>
      <m:oMath>
        <m:sSub>
          <m:sSubPr>
            <m:ctrlPr>
              <w:rPr>
                <w:rFonts w:ascii="Cambria Math" w:hAnsi="Cambria Math" w:cs="Times New Roman"/>
                <w:i/>
                <w:szCs w:val="24"/>
                <w:lang w:val="en-GB"/>
              </w:rPr>
            </m:ctrlPr>
          </m:sSubPr>
          <m:e>
            <m:r>
              <w:rPr>
                <w:rFonts w:ascii="Cambria Math" w:hAnsi="Cambria Math" w:cs="Times New Roman"/>
                <w:szCs w:val="24"/>
                <w:lang w:val="en-GB"/>
              </w:rPr>
              <m:t>w</m:t>
            </m:r>
          </m:e>
          <m:sub>
            <m:r>
              <w:rPr>
                <w:rFonts w:ascii="Cambria Math" w:hAnsi="Cambria Math" w:cs="Times New Roman"/>
                <w:szCs w:val="24"/>
                <w:lang w:val="en-GB"/>
              </w:rPr>
              <m:t>i</m:t>
            </m:r>
          </m:sub>
        </m:sSub>
      </m:oMath>
      <w:r w:rsidRPr="003E540C">
        <w:rPr>
          <w:rFonts w:cs="Times New Roman"/>
          <w:szCs w:val="24"/>
          <w:lang w:val="en-GB"/>
        </w:rPr>
        <w:t xml:space="preserve"> denotes the weight of </w:t>
      </w:r>
      <w:proofErr w:type="spellStart"/>
      <w:r w:rsidRPr="003E540C">
        <w:rPr>
          <w:rFonts w:cs="Times New Roman"/>
          <w:i/>
          <w:szCs w:val="24"/>
          <w:lang w:val="en-GB"/>
        </w:rPr>
        <w:t>i</w:t>
      </w:r>
      <w:r w:rsidRPr="003E540C">
        <w:rPr>
          <w:rFonts w:cs="Times New Roman"/>
          <w:szCs w:val="24"/>
          <w:lang w:val="en-GB"/>
        </w:rPr>
        <w:t>-th</w:t>
      </w:r>
      <w:proofErr w:type="spellEnd"/>
      <w:r w:rsidRPr="003E540C">
        <w:rPr>
          <w:rFonts w:cs="Times New Roman"/>
          <w:szCs w:val="24"/>
          <w:lang w:val="en-GB"/>
        </w:rPr>
        <w:t xml:space="preserve"> asset in the portfolio (</w:t>
      </w:r>
      <m:oMath>
        <m:r>
          <w:rPr>
            <w:rFonts w:ascii="Cambria Math" w:hAnsi="Cambria Math" w:cs="Times New Roman"/>
            <w:szCs w:val="24"/>
            <w:lang w:val="en-GB"/>
          </w:rPr>
          <m:t>i</m:t>
        </m:r>
        <m:r>
          <w:rPr>
            <w:rFonts w:ascii="Cambria Math" w:cs="Times New Roman"/>
            <w:szCs w:val="24"/>
            <w:lang w:val="en-GB"/>
          </w:rPr>
          <m:t>=1,..,</m:t>
        </m:r>
        <m:r>
          <w:rPr>
            <w:rFonts w:ascii="Cambria Math" w:hAnsi="Cambria Math" w:cs="Times New Roman"/>
            <w:szCs w:val="24"/>
            <w:lang w:val="en-GB"/>
          </w:rPr>
          <m:t>N</m:t>
        </m:r>
        <m:r>
          <w:rPr>
            <w:rFonts w:ascii="Cambria Math" w:cs="Times New Roman"/>
            <w:szCs w:val="24"/>
            <w:lang w:val="en-GB"/>
          </w:rPr>
          <m:t>)</m:t>
        </m:r>
      </m:oMath>
      <w:r w:rsidRPr="003E540C">
        <w:rPr>
          <w:rFonts w:cs="Times New Roman"/>
          <w:szCs w:val="24"/>
          <w:lang w:val="en-GB"/>
        </w:rPr>
        <w:t xml:space="preserve">, </w:t>
      </w:r>
      <m:oMath>
        <m:sSub>
          <m:sSubPr>
            <m:ctrlPr>
              <w:rPr>
                <w:rFonts w:ascii="Cambria Math" w:hAnsi="Cambria Math" w:cs="Times New Roman"/>
                <w:i/>
                <w:szCs w:val="24"/>
                <w:lang w:val="en-GB"/>
              </w:rPr>
            </m:ctrlPr>
          </m:sSubPr>
          <m:e>
            <m:r>
              <w:rPr>
                <w:rFonts w:ascii="Cambria Math" w:hAnsi="Cambria Math" w:cs="Times New Roman"/>
                <w:szCs w:val="24"/>
                <w:lang w:val="en-GB"/>
              </w:rPr>
              <m:t>s</m:t>
            </m:r>
          </m:e>
          <m:sub>
            <m:r>
              <w:rPr>
                <w:rFonts w:ascii="Cambria Math" w:hAnsi="Cambria Math" w:cs="Times New Roman"/>
                <w:szCs w:val="24"/>
                <w:lang w:val="en-GB"/>
              </w:rPr>
              <m:t>i</m:t>
            </m:r>
          </m:sub>
        </m:sSub>
      </m:oMath>
      <w:r w:rsidRPr="003E540C">
        <w:rPr>
          <w:rFonts w:cs="Times New Roman"/>
          <w:szCs w:val="24"/>
          <w:lang w:val="en-GB"/>
        </w:rPr>
        <w:t xml:space="preserve"> its standard deviation, while </w:t>
      </w:r>
      <m:oMath>
        <m:sSub>
          <m:sSubPr>
            <m:ctrlPr>
              <w:rPr>
                <w:rFonts w:ascii="Cambria Math" w:hAnsi="Cambria Math" w:cs="Times New Roman"/>
                <w:i/>
                <w:szCs w:val="24"/>
                <w:lang w:val="en-GB"/>
              </w:rPr>
            </m:ctrlPr>
          </m:sSubPr>
          <m:e>
            <m:r>
              <w:rPr>
                <w:rFonts w:ascii="Cambria Math" w:hAnsi="Cambria Math" w:cs="Times New Roman"/>
                <w:szCs w:val="24"/>
                <w:lang w:val="en-GB"/>
              </w:rPr>
              <m:t>ρ</m:t>
            </m:r>
          </m:e>
          <m:sub>
            <m:r>
              <w:rPr>
                <w:rFonts w:ascii="Cambria Math" w:hAnsi="Cambria Math" w:cs="Times New Roman"/>
                <w:szCs w:val="24"/>
                <w:lang w:val="en-GB"/>
              </w:rPr>
              <m:t>ij</m:t>
            </m:r>
          </m:sub>
        </m:sSub>
      </m:oMath>
      <w:r w:rsidR="005C634D" w:rsidRPr="003E540C">
        <w:rPr>
          <w:rFonts w:cs="Times New Roman"/>
          <w:szCs w:val="24"/>
          <w:lang w:val="en-GB"/>
        </w:rPr>
        <w:t xml:space="preserve"> is the correlation coefficient</w:t>
      </w:r>
      <w:r w:rsidRPr="003E540C">
        <w:rPr>
          <w:rFonts w:cs="Times New Roman"/>
          <w:szCs w:val="24"/>
          <w:lang w:val="en-GB"/>
        </w:rPr>
        <w:t xml:space="preserve"> between returns of assets </w:t>
      </w:r>
      <w:proofErr w:type="spellStart"/>
      <w:r w:rsidRPr="003E540C">
        <w:rPr>
          <w:rFonts w:cs="Times New Roman"/>
          <w:i/>
          <w:szCs w:val="24"/>
          <w:lang w:val="en-GB"/>
        </w:rPr>
        <w:t>i</w:t>
      </w:r>
      <w:proofErr w:type="spellEnd"/>
      <w:r w:rsidRPr="003E540C">
        <w:rPr>
          <w:rFonts w:cs="Times New Roman"/>
          <w:szCs w:val="24"/>
          <w:lang w:val="en-GB"/>
        </w:rPr>
        <w:t xml:space="preserve"> and </w:t>
      </w:r>
      <w:r w:rsidRPr="003E540C">
        <w:rPr>
          <w:rFonts w:cs="Times New Roman"/>
          <w:i/>
          <w:szCs w:val="24"/>
          <w:lang w:val="en-GB"/>
        </w:rPr>
        <w:t>j</w:t>
      </w:r>
      <w:r w:rsidRPr="003E540C">
        <w:rPr>
          <w:rFonts w:cs="Times New Roman"/>
          <w:szCs w:val="24"/>
          <w:lang w:val="en-GB"/>
        </w:rPr>
        <w:t xml:space="preserve">. </w:t>
      </w:r>
      <w:r w:rsidR="00047D4E" w:rsidRPr="003E540C">
        <w:rPr>
          <w:rFonts w:cs="Times New Roman"/>
          <w:szCs w:val="24"/>
          <w:lang w:val="en-GB"/>
        </w:rPr>
        <w:t xml:space="preserve">In our </w:t>
      </w:r>
      <w:r w:rsidR="005C634D" w:rsidRPr="003E540C">
        <w:rPr>
          <w:rFonts w:cs="Times New Roman"/>
          <w:szCs w:val="24"/>
          <w:lang w:val="en-GB"/>
        </w:rPr>
        <w:t>study</w:t>
      </w:r>
      <w:r w:rsidR="00047D4E" w:rsidRPr="003E540C">
        <w:rPr>
          <w:rFonts w:cs="Times New Roman"/>
          <w:szCs w:val="24"/>
          <w:lang w:val="en-GB"/>
        </w:rPr>
        <w:t xml:space="preserve"> we </w:t>
      </w:r>
      <w:r w:rsidR="005C634D" w:rsidRPr="003E540C">
        <w:rPr>
          <w:rFonts w:cs="Times New Roman"/>
          <w:szCs w:val="24"/>
          <w:lang w:val="en-GB"/>
        </w:rPr>
        <w:t>run the optimization procedure for the portfolio containing only two assets:</w:t>
      </w:r>
      <w:r w:rsidR="00047D4E" w:rsidRPr="003E540C">
        <w:rPr>
          <w:rFonts w:cs="Times New Roman"/>
          <w:szCs w:val="24"/>
          <w:lang w:val="en-GB"/>
        </w:rPr>
        <w:t xml:space="preserve"> </w:t>
      </w:r>
      <w:r w:rsidR="005C634D" w:rsidRPr="003E540C">
        <w:rPr>
          <w:rFonts w:cs="Times New Roman"/>
          <w:szCs w:val="24"/>
          <w:lang w:val="en-GB"/>
        </w:rPr>
        <w:t>the local and foreign market indices. Then</w:t>
      </w:r>
      <w:r w:rsidR="008E597D" w:rsidRPr="003E540C">
        <w:rPr>
          <w:rFonts w:cs="Times New Roman"/>
          <w:szCs w:val="24"/>
          <w:lang w:val="en-GB"/>
        </w:rPr>
        <w:t>,</w:t>
      </w:r>
      <w:r w:rsidR="005C634D" w:rsidRPr="003E540C">
        <w:rPr>
          <w:rFonts w:cs="Times New Roman"/>
          <w:szCs w:val="24"/>
          <w:lang w:val="en-GB"/>
        </w:rPr>
        <w:t xml:space="preserve"> we compare the uncovered portfolio weights (</w:t>
      </w:r>
      <w:r w:rsidR="00E631D7">
        <w:rPr>
          <w:rFonts w:cs="Times New Roman"/>
          <w:szCs w:val="24"/>
          <w:lang w:val="en-GB"/>
        </w:rPr>
        <w:t>3</w:t>
      </w:r>
      <w:r w:rsidR="005C634D" w:rsidRPr="003E540C">
        <w:rPr>
          <w:rFonts w:cs="Times New Roman"/>
          <w:szCs w:val="24"/>
          <w:lang w:val="en-GB"/>
        </w:rPr>
        <w:t xml:space="preserve">) with the actual </w:t>
      </w:r>
      <w:r w:rsidR="008E597D" w:rsidRPr="003E540C">
        <w:rPr>
          <w:rFonts w:cs="Times New Roman"/>
          <w:szCs w:val="24"/>
          <w:lang w:val="en-GB"/>
        </w:rPr>
        <w:t>OPFs portfolio assessing the size of home bias phenomenon and the potential for further risk reduction.</w:t>
      </w:r>
    </w:p>
    <w:p w:rsidR="006C439C" w:rsidRPr="003E540C" w:rsidRDefault="005C634D" w:rsidP="008E597D">
      <w:pPr>
        <w:autoSpaceDE w:val="0"/>
        <w:autoSpaceDN w:val="0"/>
        <w:adjustRightInd w:val="0"/>
        <w:spacing w:line="480" w:lineRule="auto"/>
        <w:ind w:firstLine="708"/>
        <w:rPr>
          <w:rFonts w:cs="Times New Roman"/>
          <w:szCs w:val="24"/>
          <w:lang w:val="en-GB"/>
        </w:rPr>
      </w:pPr>
      <w:r w:rsidRPr="003E540C">
        <w:rPr>
          <w:rFonts w:cs="Times New Roman"/>
          <w:szCs w:val="24"/>
          <w:lang w:val="en-GB"/>
        </w:rPr>
        <w:t xml:space="preserve"> </w:t>
      </w:r>
      <w:r w:rsidR="004D2606" w:rsidRPr="003E540C">
        <w:rPr>
          <w:rFonts w:cs="Times New Roman"/>
          <w:color w:val="000000" w:themeColor="text1"/>
          <w:szCs w:val="24"/>
          <w:lang w:val="en-GB"/>
        </w:rPr>
        <w:t>Note</w:t>
      </w:r>
      <w:r w:rsidR="00AF2D04" w:rsidRPr="003E540C">
        <w:rPr>
          <w:rFonts w:cs="Times New Roman"/>
          <w:color w:val="000000" w:themeColor="text1"/>
          <w:szCs w:val="24"/>
          <w:lang w:val="en-GB"/>
        </w:rPr>
        <w:t xml:space="preserve"> </w:t>
      </w:r>
      <w:r w:rsidR="004D2606" w:rsidRPr="003E540C">
        <w:rPr>
          <w:rFonts w:cs="Times New Roman"/>
          <w:color w:val="000000" w:themeColor="text1"/>
          <w:szCs w:val="24"/>
          <w:lang w:val="en-GB"/>
        </w:rPr>
        <w:t>that</w:t>
      </w:r>
      <w:r w:rsidR="00AF2D04" w:rsidRPr="003E540C">
        <w:rPr>
          <w:rFonts w:cs="Times New Roman"/>
          <w:color w:val="000000" w:themeColor="text1"/>
          <w:szCs w:val="24"/>
          <w:lang w:val="en-GB"/>
        </w:rPr>
        <w:t xml:space="preserve"> we do not take any return estimates, as they are perhaps much </w:t>
      </w:r>
      <w:r w:rsidR="00A1727C" w:rsidRPr="003E540C">
        <w:rPr>
          <w:rFonts w:cs="Times New Roman"/>
          <w:color w:val="000000" w:themeColor="text1"/>
          <w:szCs w:val="24"/>
          <w:lang w:val="en-GB"/>
        </w:rPr>
        <w:t>more</w:t>
      </w:r>
      <w:r w:rsidR="00AF2D04" w:rsidRPr="003E540C">
        <w:rPr>
          <w:rFonts w:cs="Times New Roman"/>
          <w:color w:val="000000" w:themeColor="text1"/>
          <w:szCs w:val="24"/>
          <w:lang w:val="en-GB"/>
        </w:rPr>
        <w:t xml:space="preserve"> uncertain than variance or correlations. </w:t>
      </w:r>
      <w:r w:rsidR="004D2606" w:rsidRPr="003E540C">
        <w:rPr>
          <w:rFonts w:cs="Times New Roman"/>
          <w:color w:val="000000" w:themeColor="text1"/>
          <w:szCs w:val="24"/>
          <w:lang w:val="en-GB"/>
        </w:rPr>
        <w:t>Being precise, c</w:t>
      </w:r>
      <w:r w:rsidR="00AF2D04" w:rsidRPr="003E540C">
        <w:rPr>
          <w:rFonts w:cs="Times New Roman"/>
          <w:color w:val="000000" w:themeColor="text1"/>
          <w:szCs w:val="24"/>
          <w:lang w:val="en-GB"/>
        </w:rPr>
        <w:t xml:space="preserve">omparing </w:t>
      </w:r>
      <w:r w:rsidRPr="003E540C">
        <w:rPr>
          <w:rFonts w:cs="Times New Roman"/>
          <w:color w:val="000000" w:themeColor="text1"/>
          <w:szCs w:val="24"/>
          <w:lang w:val="en-GB"/>
        </w:rPr>
        <w:t xml:space="preserve">only </w:t>
      </w:r>
      <w:r w:rsidR="00AF2D04" w:rsidRPr="003E540C">
        <w:rPr>
          <w:rFonts w:cs="Times New Roman"/>
          <w:color w:val="000000" w:themeColor="text1"/>
          <w:szCs w:val="24"/>
          <w:lang w:val="en-GB"/>
        </w:rPr>
        <w:t>the standard deviation</w:t>
      </w:r>
      <w:r w:rsidR="004D2606" w:rsidRPr="003E540C">
        <w:rPr>
          <w:rFonts w:cs="Times New Roman"/>
          <w:color w:val="000000" w:themeColor="text1"/>
          <w:szCs w:val="24"/>
          <w:lang w:val="en-GB"/>
        </w:rPr>
        <w:t>s</w:t>
      </w:r>
      <w:r w:rsidR="00AF2D04" w:rsidRPr="003E540C">
        <w:rPr>
          <w:rFonts w:cs="Times New Roman"/>
          <w:color w:val="000000" w:themeColor="text1"/>
          <w:szCs w:val="24"/>
          <w:lang w:val="en-GB"/>
        </w:rPr>
        <w:t xml:space="preserve"> of different por</w:t>
      </w:r>
      <w:r w:rsidR="004D2606" w:rsidRPr="003E540C">
        <w:rPr>
          <w:rFonts w:cs="Times New Roman"/>
          <w:color w:val="000000" w:themeColor="text1"/>
          <w:szCs w:val="24"/>
          <w:lang w:val="en-GB"/>
        </w:rPr>
        <w:t>tfolio</w:t>
      </w:r>
      <w:r w:rsidR="00AF2D04" w:rsidRPr="003E540C">
        <w:rPr>
          <w:rFonts w:cs="Times New Roman"/>
          <w:color w:val="000000" w:themeColor="text1"/>
          <w:szCs w:val="24"/>
          <w:lang w:val="en-GB"/>
        </w:rPr>
        <w:t xml:space="preserve">s is not </w:t>
      </w:r>
      <w:r w:rsidR="006C439C" w:rsidRPr="003E540C">
        <w:rPr>
          <w:rFonts w:cs="Times New Roman"/>
          <w:color w:val="000000" w:themeColor="text1"/>
          <w:szCs w:val="24"/>
          <w:lang w:val="en-GB"/>
        </w:rPr>
        <w:t xml:space="preserve">a </w:t>
      </w:r>
      <w:r w:rsidR="00AF2D04" w:rsidRPr="003E540C">
        <w:rPr>
          <w:rFonts w:cs="Times New Roman"/>
          <w:color w:val="000000" w:themeColor="text1"/>
          <w:szCs w:val="24"/>
          <w:lang w:val="en-GB"/>
        </w:rPr>
        <w:t>way of assessing the diversification benefits,</w:t>
      </w:r>
      <w:r w:rsidR="004D2606" w:rsidRPr="003E540C">
        <w:rPr>
          <w:rFonts w:cs="Times New Roman"/>
          <w:color w:val="000000" w:themeColor="text1"/>
          <w:szCs w:val="24"/>
          <w:lang w:val="en-GB"/>
        </w:rPr>
        <w:t xml:space="preserve"> but provides the information on risk-reduction properties</w:t>
      </w:r>
      <w:r w:rsidR="00A1727C" w:rsidRPr="003E540C">
        <w:rPr>
          <w:rFonts w:cs="Times New Roman"/>
          <w:color w:val="000000" w:themeColor="text1"/>
          <w:szCs w:val="24"/>
          <w:lang w:val="en-GB"/>
        </w:rPr>
        <w:t xml:space="preserve"> as only the</w:t>
      </w:r>
      <w:r w:rsidR="006C439C" w:rsidRPr="003E540C">
        <w:rPr>
          <w:rFonts w:cs="Times New Roman"/>
          <w:color w:val="000000" w:themeColor="text1"/>
          <w:szCs w:val="24"/>
          <w:lang w:val="en-GB"/>
        </w:rPr>
        <w:t xml:space="preserve"> risk</w:t>
      </w:r>
      <w:r w:rsidR="00A1727C" w:rsidRPr="003E540C">
        <w:rPr>
          <w:rFonts w:cs="Times New Roman"/>
          <w:color w:val="000000" w:themeColor="text1"/>
          <w:szCs w:val="24"/>
          <w:lang w:val="en-GB"/>
        </w:rPr>
        <w:t xml:space="preserve"> characteristic</w:t>
      </w:r>
      <w:r w:rsidR="006C439C" w:rsidRPr="003E540C">
        <w:rPr>
          <w:rFonts w:cs="Times New Roman"/>
          <w:color w:val="000000" w:themeColor="text1"/>
          <w:szCs w:val="24"/>
          <w:lang w:val="en-GB"/>
        </w:rPr>
        <w:t xml:space="preserve"> w</w:t>
      </w:r>
      <w:r w:rsidR="00AF2D04" w:rsidRPr="003E540C">
        <w:rPr>
          <w:rFonts w:cs="Times New Roman"/>
          <w:color w:val="000000" w:themeColor="text1"/>
          <w:szCs w:val="24"/>
          <w:lang w:val="en-GB"/>
        </w:rPr>
        <w:t>it</w:t>
      </w:r>
      <w:r w:rsidR="006C439C" w:rsidRPr="003E540C">
        <w:rPr>
          <w:rFonts w:cs="Times New Roman"/>
          <w:color w:val="000000" w:themeColor="text1"/>
          <w:szCs w:val="24"/>
          <w:lang w:val="en-GB"/>
        </w:rPr>
        <w:t>ho</w:t>
      </w:r>
      <w:r w:rsidR="00AF2D04" w:rsidRPr="003E540C">
        <w:rPr>
          <w:rFonts w:cs="Times New Roman"/>
          <w:color w:val="000000" w:themeColor="text1"/>
          <w:szCs w:val="24"/>
          <w:lang w:val="en-GB"/>
        </w:rPr>
        <w:t>u</w:t>
      </w:r>
      <w:r w:rsidR="006C439C" w:rsidRPr="003E540C">
        <w:rPr>
          <w:rFonts w:cs="Times New Roman"/>
          <w:color w:val="000000" w:themeColor="text1"/>
          <w:szCs w:val="24"/>
          <w:lang w:val="en-GB"/>
        </w:rPr>
        <w:t>t</w:t>
      </w:r>
      <w:r w:rsidR="00AF2D04" w:rsidRPr="003E540C">
        <w:rPr>
          <w:rFonts w:cs="Times New Roman"/>
          <w:color w:val="000000" w:themeColor="text1"/>
          <w:szCs w:val="24"/>
          <w:lang w:val="en-GB"/>
        </w:rPr>
        <w:t xml:space="preserve"> return is analysed. </w:t>
      </w:r>
      <w:r w:rsidR="008E597D" w:rsidRPr="003E540C">
        <w:rPr>
          <w:rFonts w:cs="Times New Roman"/>
          <w:color w:val="000000" w:themeColor="text1"/>
          <w:szCs w:val="24"/>
          <w:lang w:val="en-GB"/>
        </w:rPr>
        <w:t>This</w:t>
      </w:r>
      <w:r w:rsidR="006C439C" w:rsidRPr="003E540C">
        <w:rPr>
          <w:rFonts w:cs="Times New Roman"/>
          <w:color w:val="000000" w:themeColor="text1"/>
          <w:szCs w:val="24"/>
          <w:lang w:val="en-GB"/>
        </w:rPr>
        <w:t xml:space="preserve"> approach</w:t>
      </w:r>
      <w:r w:rsidR="008E597D" w:rsidRPr="003E540C">
        <w:rPr>
          <w:rFonts w:cs="Times New Roman"/>
          <w:color w:val="000000" w:themeColor="text1"/>
          <w:szCs w:val="24"/>
          <w:lang w:val="en-GB"/>
        </w:rPr>
        <w:t xml:space="preserve"> has been supported</w:t>
      </w:r>
      <w:r w:rsidR="0092557F">
        <w:rPr>
          <w:rFonts w:cs="Times New Roman"/>
          <w:color w:val="000000" w:themeColor="text1"/>
          <w:szCs w:val="24"/>
          <w:lang w:val="en-GB"/>
        </w:rPr>
        <w:t xml:space="preserve"> also</w:t>
      </w:r>
      <w:r w:rsidR="008E597D" w:rsidRPr="003E540C">
        <w:rPr>
          <w:rFonts w:cs="Times New Roman"/>
          <w:color w:val="000000" w:themeColor="text1"/>
          <w:szCs w:val="24"/>
          <w:lang w:val="en-GB"/>
        </w:rPr>
        <w:t xml:space="preserve"> by</w:t>
      </w:r>
      <w:r w:rsidR="006C439C" w:rsidRPr="003E540C">
        <w:rPr>
          <w:rFonts w:cs="Times New Roman"/>
          <w:color w:val="000000" w:themeColor="text1"/>
          <w:szCs w:val="24"/>
          <w:lang w:val="en-GB"/>
        </w:rPr>
        <w:t xml:space="preserve"> </w:t>
      </w:r>
      <w:proofErr w:type="spellStart"/>
      <w:r w:rsidR="006C439C" w:rsidRPr="003E540C">
        <w:rPr>
          <w:rFonts w:cs="Times New Roman"/>
          <w:szCs w:val="24"/>
          <w:lang w:val="en-GB"/>
        </w:rPr>
        <w:t>Jagannathan</w:t>
      </w:r>
      <w:proofErr w:type="spellEnd"/>
      <w:r w:rsidR="006C439C" w:rsidRPr="003E540C">
        <w:rPr>
          <w:rFonts w:cs="Times New Roman"/>
          <w:szCs w:val="24"/>
          <w:lang w:val="en-GB"/>
        </w:rPr>
        <w:t xml:space="preserve"> and Ma (2003)</w:t>
      </w:r>
      <w:r w:rsidR="00134A6F">
        <w:rPr>
          <w:rFonts w:cs="Times New Roman"/>
          <w:szCs w:val="24"/>
          <w:lang w:val="en-GB"/>
        </w:rPr>
        <w:t>. They even state</w:t>
      </w:r>
      <w:r w:rsidR="008E597D" w:rsidRPr="003E540C">
        <w:rPr>
          <w:rFonts w:cs="Times New Roman"/>
          <w:szCs w:val="24"/>
          <w:lang w:val="en-GB"/>
        </w:rPr>
        <w:t xml:space="preserve"> </w:t>
      </w:r>
      <w:r w:rsidR="006C439C" w:rsidRPr="003E540C">
        <w:rPr>
          <w:rFonts w:cs="Times New Roman"/>
          <w:szCs w:val="24"/>
          <w:lang w:val="en-GB"/>
        </w:rPr>
        <w:t>that due to the instability of the expected returns</w:t>
      </w:r>
      <w:r w:rsidR="008E597D" w:rsidRPr="003E540C">
        <w:rPr>
          <w:rFonts w:cs="Times New Roman"/>
          <w:szCs w:val="24"/>
          <w:lang w:val="en-GB"/>
        </w:rPr>
        <w:t>’</w:t>
      </w:r>
      <w:r w:rsidR="006C439C" w:rsidRPr="003E540C">
        <w:rPr>
          <w:rFonts w:cs="Times New Roman"/>
          <w:szCs w:val="24"/>
          <w:lang w:val="en-GB"/>
        </w:rPr>
        <w:t xml:space="preserve"> estimates </w:t>
      </w:r>
      <w:r w:rsidR="006C439C" w:rsidRPr="003E540C">
        <w:rPr>
          <w:rFonts w:cs="Times New Roman"/>
          <w:szCs w:val="24"/>
          <w:lang w:val="en-GB"/>
        </w:rPr>
        <w:lastRenderedPageBreak/>
        <w:t>based on the sample mean, little is lost by ignoring totally the mean estimates and instead study the MVP.</w:t>
      </w:r>
    </w:p>
    <w:p w:rsidR="009554EF" w:rsidRDefault="00145EA6" w:rsidP="009554EF">
      <w:pPr>
        <w:spacing w:line="480" w:lineRule="auto"/>
        <w:rPr>
          <w:rFonts w:cs="Times New Roman"/>
          <w:color w:val="000000" w:themeColor="text1"/>
          <w:szCs w:val="24"/>
          <w:lang w:val="en-GB"/>
        </w:rPr>
      </w:pPr>
      <w:r w:rsidRPr="003E540C">
        <w:rPr>
          <w:rFonts w:cs="Times New Roman"/>
          <w:color w:val="000000" w:themeColor="text1"/>
          <w:szCs w:val="24"/>
          <w:lang w:val="en-GB"/>
        </w:rPr>
        <w:tab/>
        <w:t>We will run optimizat</w:t>
      </w:r>
      <w:r w:rsidR="005E76B2" w:rsidRPr="003E540C">
        <w:rPr>
          <w:rFonts w:cs="Times New Roman"/>
          <w:color w:val="000000" w:themeColor="text1"/>
          <w:szCs w:val="24"/>
          <w:lang w:val="en-GB"/>
        </w:rPr>
        <w:t>ion procedure two times. First</w:t>
      </w:r>
      <w:r w:rsidRPr="003E540C">
        <w:rPr>
          <w:rFonts w:cs="Times New Roman"/>
          <w:color w:val="000000" w:themeColor="text1"/>
          <w:szCs w:val="24"/>
          <w:lang w:val="en-GB"/>
        </w:rPr>
        <w:t>, without imposing the short sale restriction, hence the only optimization constraint would be:</w:t>
      </w:r>
    </w:p>
    <w:p w:rsidR="0092557F" w:rsidRPr="003E540C" w:rsidRDefault="0092557F" w:rsidP="009554EF">
      <w:pPr>
        <w:spacing w:line="480" w:lineRule="auto"/>
        <w:rPr>
          <w:rFonts w:cs="Times New Roman"/>
          <w:color w:val="000000" w:themeColor="text1"/>
          <w:szCs w:val="24"/>
          <w:lang w:val="en-GB"/>
        </w:rPr>
      </w:pPr>
    </w:p>
    <w:p w:rsidR="00145EA6" w:rsidRDefault="00A467C7" w:rsidP="0092557F">
      <w:pPr>
        <w:spacing w:line="480" w:lineRule="auto"/>
        <w:ind w:left="3540"/>
        <w:rPr>
          <w:rFonts w:eastAsiaTheme="minorEastAsia" w:cs="Times New Roman"/>
          <w:szCs w:val="24"/>
          <w:lang w:val="en-GB"/>
        </w:rPr>
      </w:pPr>
      <m:oMath>
        <m:nary>
          <m:naryPr>
            <m:chr m:val="∑"/>
            <m:limLoc m:val="undOvr"/>
            <m:ctrlPr>
              <w:rPr>
                <w:rFonts w:ascii="Cambria Math" w:hAnsi="Cambria Math" w:cs="Times New Roman"/>
                <w:i/>
                <w:szCs w:val="24"/>
                <w:lang w:val="en-GB"/>
              </w:rPr>
            </m:ctrlPr>
          </m:naryPr>
          <m:sub>
            <m:r>
              <w:rPr>
                <w:rFonts w:ascii="Cambria Math" w:hAnsi="Cambria Math" w:cs="Times New Roman"/>
                <w:szCs w:val="24"/>
                <w:lang w:val="en-GB"/>
              </w:rPr>
              <m:t>i</m:t>
            </m:r>
            <m:r>
              <w:rPr>
                <w:rFonts w:ascii="Cambria Math" w:cs="Times New Roman"/>
                <w:szCs w:val="24"/>
                <w:lang w:val="en-GB"/>
              </w:rPr>
              <m:t>=1</m:t>
            </m:r>
          </m:sub>
          <m:sup>
            <m:r>
              <w:rPr>
                <w:rFonts w:ascii="Cambria Math" w:hAnsi="Cambria Math" w:cs="Times New Roman"/>
                <w:szCs w:val="24"/>
                <w:lang w:val="en-GB"/>
              </w:rPr>
              <m:t>N</m:t>
            </m:r>
          </m:sup>
          <m:e>
            <m:sSub>
              <m:sSubPr>
                <m:ctrlPr>
                  <w:rPr>
                    <w:rFonts w:ascii="Cambria Math" w:hAnsi="Cambria Math" w:cs="Times New Roman"/>
                    <w:i/>
                    <w:szCs w:val="24"/>
                    <w:lang w:val="en-GB"/>
                  </w:rPr>
                </m:ctrlPr>
              </m:sSubPr>
              <m:e>
                <m:r>
                  <w:rPr>
                    <w:rFonts w:ascii="Cambria Math" w:hAnsi="Cambria Math" w:cs="Times New Roman"/>
                    <w:szCs w:val="24"/>
                    <w:lang w:val="en-GB"/>
                  </w:rPr>
                  <m:t>w</m:t>
                </m:r>
              </m:e>
              <m:sub>
                <m:r>
                  <w:rPr>
                    <w:rFonts w:ascii="Cambria Math" w:hAnsi="Cambria Math" w:cs="Times New Roman"/>
                    <w:szCs w:val="24"/>
                    <w:lang w:val="en-GB"/>
                  </w:rPr>
                  <m:t>i</m:t>
                </m:r>
              </m:sub>
            </m:sSub>
          </m:e>
        </m:nary>
        <m:r>
          <w:rPr>
            <w:rFonts w:ascii="Cambria Math" w:cs="Times New Roman"/>
            <w:szCs w:val="24"/>
            <w:lang w:val="en-GB"/>
          </w:rPr>
          <m:t>=0</m:t>
        </m:r>
      </m:oMath>
      <w:r w:rsidR="00145EA6" w:rsidRPr="003E540C">
        <w:rPr>
          <w:rFonts w:eastAsiaTheme="minorEastAsia" w:cs="Times New Roman"/>
          <w:szCs w:val="24"/>
          <w:lang w:val="en-GB"/>
        </w:rPr>
        <w:t xml:space="preserve"> </w:t>
      </w:r>
      <w:r w:rsidR="0092557F">
        <w:rPr>
          <w:rFonts w:eastAsiaTheme="minorEastAsia" w:cs="Times New Roman"/>
          <w:szCs w:val="24"/>
          <w:lang w:val="en-GB"/>
        </w:rPr>
        <w:t xml:space="preserve"> </w:t>
      </w:r>
      <w:r w:rsidR="0092557F">
        <w:rPr>
          <w:rFonts w:eastAsiaTheme="minorEastAsia" w:cs="Times New Roman"/>
          <w:szCs w:val="24"/>
          <w:lang w:val="en-GB"/>
        </w:rPr>
        <w:tab/>
      </w:r>
      <w:r w:rsidR="0092557F">
        <w:rPr>
          <w:rFonts w:eastAsiaTheme="minorEastAsia" w:cs="Times New Roman"/>
          <w:szCs w:val="24"/>
          <w:lang w:val="en-GB"/>
        </w:rPr>
        <w:tab/>
      </w:r>
      <w:r w:rsidR="0092557F">
        <w:rPr>
          <w:rFonts w:eastAsiaTheme="minorEastAsia" w:cs="Times New Roman"/>
          <w:szCs w:val="24"/>
          <w:lang w:val="en-GB"/>
        </w:rPr>
        <w:tab/>
      </w:r>
      <w:r w:rsidR="0092557F">
        <w:rPr>
          <w:rFonts w:eastAsiaTheme="minorEastAsia" w:cs="Times New Roman"/>
          <w:szCs w:val="24"/>
          <w:lang w:val="en-GB"/>
        </w:rPr>
        <w:tab/>
      </w:r>
      <w:r w:rsidR="0092557F">
        <w:rPr>
          <w:rFonts w:eastAsiaTheme="minorEastAsia" w:cs="Times New Roman"/>
          <w:szCs w:val="24"/>
          <w:lang w:val="en-GB"/>
        </w:rPr>
        <w:tab/>
      </w:r>
      <w:r w:rsidR="00145EA6" w:rsidRPr="003E540C">
        <w:rPr>
          <w:rFonts w:eastAsiaTheme="minorEastAsia" w:cs="Times New Roman"/>
          <w:szCs w:val="24"/>
          <w:lang w:val="en-GB"/>
        </w:rPr>
        <w:t>(</w:t>
      </w:r>
      <w:r w:rsidR="00E631D7">
        <w:rPr>
          <w:rFonts w:eastAsiaTheme="minorEastAsia" w:cs="Times New Roman"/>
          <w:szCs w:val="24"/>
          <w:lang w:val="en-GB"/>
        </w:rPr>
        <w:t>4</w:t>
      </w:r>
      <w:r w:rsidR="00145EA6" w:rsidRPr="003E540C">
        <w:rPr>
          <w:rFonts w:eastAsiaTheme="minorEastAsia" w:cs="Times New Roman"/>
          <w:szCs w:val="24"/>
          <w:lang w:val="en-GB"/>
        </w:rPr>
        <w:t>)</w:t>
      </w:r>
    </w:p>
    <w:p w:rsidR="0092557F" w:rsidRPr="003E540C" w:rsidRDefault="0092557F" w:rsidP="009554EF">
      <w:pPr>
        <w:spacing w:line="480" w:lineRule="auto"/>
        <w:rPr>
          <w:rFonts w:cs="Times New Roman"/>
          <w:color w:val="000000" w:themeColor="text1"/>
          <w:szCs w:val="24"/>
          <w:lang w:val="en-GB"/>
        </w:rPr>
      </w:pPr>
    </w:p>
    <w:p w:rsidR="009554EF" w:rsidRPr="003E540C" w:rsidRDefault="00145EA6" w:rsidP="0092557F">
      <w:pPr>
        <w:spacing w:line="480" w:lineRule="auto"/>
        <w:ind w:firstLine="708"/>
        <w:rPr>
          <w:rFonts w:cs="Times New Roman"/>
          <w:b/>
          <w:szCs w:val="24"/>
          <w:lang w:val="en-GB"/>
        </w:rPr>
      </w:pPr>
      <w:r w:rsidRPr="003E540C">
        <w:rPr>
          <w:rFonts w:cs="Times New Roman"/>
          <w:szCs w:val="24"/>
          <w:lang w:val="en-GB"/>
        </w:rPr>
        <w:t xml:space="preserve">In many cases </w:t>
      </w:r>
      <w:r w:rsidR="0092557F">
        <w:rPr>
          <w:rFonts w:cs="Times New Roman"/>
          <w:szCs w:val="24"/>
          <w:lang w:val="en-GB"/>
        </w:rPr>
        <w:t xml:space="preserve">the </w:t>
      </w:r>
      <w:r w:rsidRPr="003E540C">
        <w:rPr>
          <w:rFonts w:cs="Times New Roman"/>
          <w:szCs w:val="24"/>
          <w:lang w:val="en-GB"/>
        </w:rPr>
        <w:t>optimization procedure without imposing the “short-sale” constraint deliver</w:t>
      </w:r>
      <w:r w:rsidR="0092557F">
        <w:rPr>
          <w:rFonts w:cs="Times New Roman"/>
          <w:szCs w:val="24"/>
          <w:lang w:val="en-GB"/>
        </w:rPr>
        <w:t>s</w:t>
      </w:r>
      <w:r w:rsidRPr="003E540C">
        <w:rPr>
          <w:rFonts w:cs="Times New Roman"/>
          <w:szCs w:val="24"/>
          <w:lang w:val="en-GB"/>
        </w:rPr>
        <w:t xml:space="preserve"> the result where </w:t>
      </w:r>
      <w:r w:rsidRPr="003E540C">
        <w:rPr>
          <w:rFonts w:cs="Times New Roman"/>
          <w:i/>
          <w:szCs w:val="24"/>
          <w:lang w:val="en-GB"/>
        </w:rPr>
        <w:t>e.g.</w:t>
      </w:r>
      <w:r w:rsidRPr="003E540C">
        <w:rPr>
          <w:rFonts w:cs="Times New Roman"/>
          <w:szCs w:val="24"/>
          <w:lang w:val="en-GB"/>
        </w:rPr>
        <w:t xml:space="preserve"> one of the asset receive</w:t>
      </w:r>
      <w:r w:rsidR="0092557F">
        <w:rPr>
          <w:rFonts w:cs="Times New Roman"/>
          <w:szCs w:val="24"/>
          <w:lang w:val="en-GB"/>
        </w:rPr>
        <w:t>s</w:t>
      </w:r>
      <w:r w:rsidRPr="003E540C">
        <w:rPr>
          <w:rFonts w:cs="Times New Roman"/>
          <w:szCs w:val="24"/>
          <w:lang w:val="en-GB"/>
        </w:rPr>
        <w:t xml:space="preserve"> the weight over 100%, while the other one </w:t>
      </w:r>
      <w:r w:rsidR="0092557F">
        <w:rPr>
          <w:rFonts w:cs="Times New Roman"/>
          <w:szCs w:val="24"/>
          <w:lang w:val="en-GB"/>
        </w:rPr>
        <w:t>is</w:t>
      </w:r>
      <w:r w:rsidRPr="003E540C">
        <w:rPr>
          <w:rFonts w:cs="Times New Roman"/>
          <w:szCs w:val="24"/>
          <w:lang w:val="en-GB"/>
        </w:rPr>
        <w:t xml:space="preserve"> recommended to be sold heavily getting the weight -50%. Definitely such weights are rather unrealistic in pension funds asset allocation policy</w:t>
      </w:r>
      <w:r w:rsidR="00DF75A8">
        <w:rPr>
          <w:rFonts w:cs="Times New Roman"/>
          <w:szCs w:val="24"/>
          <w:lang w:val="en-GB"/>
        </w:rPr>
        <w:t>. For this reason,</w:t>
      </w:r>
      <w:r w:rsidRPr="003E540C">
        <w:rPr>
          <w:rFonts w:cs="Times New Roman"/>
          <w:szCs w:val="24"/>
          <w:lang w:val="en-GB"/>
        </w:rPr>
        <w:t xml:space="preserve"> we will treat these results w</w:t>
      </w:r>
      <w:r w:rsidR="005E26E6">
        <w:rPr>
          <w:rFonts w:cs="Times New Roman"/>
          <w:szCs w:val="24"/>
          <w:lang w:val="en-GB"/>
        </w:rPr>
        <w:t>ith</w:t>
      </w:r>
      <w:r w:rsidRPr="003E540C">
        <w:rPr>
          <w:rFonts w:cs="Times New Roman"/>
          <w:szCs w:val="24"/>
          <w:lang w:val="en-GB"/>
        </w:rPr>
        <w:t xml:space="preserve"> cautious if they </w:t>
      </w:r>
      <w:r w:rsidR="0092557F">
        <w:rPr>
          <w:rFonts w:cs="Times New Roman"/>
          <w:szCs w:val="24"/>
          <w:lang w:val="en-GB"/>
        </w:rPr>
        <w:t>were</w:t>
      </w:r>
      <w:r w:rsidRPr="003E540C">
        <w:rPr>
          <w:rFonts w:cs="Times New Roman"/>
          <w:szCs w:val="24"/>
          <w:lang w:val="en-GB"/>
        </w:rPr>
        <w:t xml:space="preserve"> found quite extreme.</w:t>
      </w:r>
    </w:p>
    <w:p w:rsidR="009554EF" w:rsidRDefault="00145EA6" w:rsidP="0092557F">
      <w:pPr>
        <w:spacing w:line="480" w:lineRule="auto"/>
        <w:ind w:firstLine="708"/>
        <w:rPr>
          <w:rFonts w:cs="Times New Roman"/>
          <w:szCs w:val="24"/>
          <w:lang w:val="en-GB"/>
        </w:rPr>
      </w:pPr>
      <w:r w:rsidRPr="007333F9">
        <w:rPr>
          <w:rFonts w:cs="Times New Roman"/>
          <w:szCs w:val="24"/>
          <w:lang w:val="en-GB"/>
        </w:rPr>
        <w:t xml:space="preserve">In the next step we will </w:t>
      </w:r>
      <w:r w:rsidR="008A3791" w:rsidRPr="007333F9">
        <w:rPr>
          <w:rFonts w:cs="Times New Roman"/>
          <w:szCs w:val="24"/>
          <w:lang w:val="en-GB"/>
        </w:rPr>
        <w:t>implement</w:t>
      </w:r>
      <w:r w:rsidRPr="007333F9">
        <w:rPr>
          <w:rFonts w:cs="Times New Roman"/>
          <w:szCs w:val="24"/>
          <w:lang w:val="en-GB"/>
        </w:rPr>
        <w:t xml:space="preserve"> short sale </w:t>
      </w:r>
      <w:r w:rsidR="008A3791" w:rsidRPr="007333F9">
        <w:rPr>
          <w:rFonts w:cs="Times New Roman"/>
          <w:szCs w:val="24"/>
          <w:lang w:val="en-GB"/>
        </w:rPr>
        <w:t xml:space="preserve">constraint </w:t>
      </w:r>
      <w:r w:rsidRPr="007333F9">
        <w:rPr>
          <w:rFonts w:cs="Times New Roman"/>
          <w:szCs w:val="24"/>
          <w:lang w:val="en-GB"/>
        </w:rPr>
        <w:t xml:space="preserve">adding the </w:t>
      </w:r>
      <w:r w:rsidR="008A3791" w:rsidRPr="007333F9">
        <w:rPr>
          <w:rFonts w:cs="Times New Roman"/>
          <w:szCs w:val="24"/>
          <w:lang w:val="en-GB"/>
        </w:rPr>
        <w:t>following condition:</w:t>
      </w:r>
    </w:p>
    <w:p w:rsidR="0092557F" w:rsidRPr="007333F9" w:rsidRDefault="0092557F" w:rsidP="0092557F">
      <w:pPr>
        <w:spacing w:line="480" w:lineRule="auto"/>
        <w:ind w:firstLine="708"/>
        <w:rPr>
          <w:rFonts w:cs="Times New Roman"/>
          <w:szCs w:val="24"/>
          <w:lang w:val="en-GB"/>
        </w:rPr>
      </w:pPr>
    </w:p>
    <w:p w:rsidR="00145EA6" w:rsidRDefault="00A467C7" w:rsidP="0092557F">
      <w:pPr>
        <w:spacing w:line="480" w:lineRule="auto"/>
        <w:ind w:left="3540"/>
        <w:rPr>
          <w:rFonts w:eastAsiaTheme="minorEastAsia" w:cs="Times New Roman"/>
          <w:szCs w:val="24"/>
          <w:lang w:val="en-GB"/>
        </w:rPr>
      </w:pPr>
      <m:oMath>
        <m:sSub>
          <m:sSubPr>
            <m:ctrlPr>
              <w:rPr>
                <w:rFonts w:ascii="Cambria Math" w:hAnsi="Cambria Math" w:cs="Times New Roman"/>
                <w:i/>
                <w:szCs w:val="24"/>
                <w:lang w:val="en-GB"/>
              </w:rPr>
            </m:ctrlPr>
          </m:sSubPr>
          <m:e>
            <m:r>
              <w:rPr>
                <w:rFonts w:ascii="Cambria Math" w:cs="Times New Roman"/>
                <w:szCs w:val="24"/>
                <w:lang w:val="en-GB"/>
              </w:rPr>
              <m:t>0</m:t>
            </m:r>
            <m:r>
              <w:rPr>
                <w:rFonts w:ascii="Cambria Math" w:hAnsi="Cambria Math" w:cs="Times New Roman"/>
                <w:szCs w:val="24"/>
                <w:lang w:val="en-GB"/>
              </w:rPr>
              <m:t>≤w</m:t>
            </m:r>
          </m:e>
          <m:sub>
            <m:r>
              <w:rPr>
                <w:rFonts w:ascii="Cambria Math" w:hAnsi="Cambria Math" w:cs="Times New Roman"/>
                <w:szCs w:val="24"/>
                <w:lang w:val="en-GB"/>
              </w:rPr>
              <m:t>i</m:t>
            </m:r>
          </m:sub>
        </m:sSub>
        <m:r>
          <w:rPr>
            <w:rFonts w:ascii="Cambria Math" w:hAnsi="Cambria Math" w:cs="Times New Roman"/>
            <w:szCs w:val="24"/>
            <w:lang w:val="en-GB"/>
          </w:rPr>
          <m:t>≤</m:t>
        </m:r>
        <m:r>
          <w:rPr>
            <w:rFonts w:ascii="Cambria Math" w:cs="Times New Roman"/>
            <w:szCs w:val="24"/>
            <w:lang w:val="en-GB"/>
          </w:rPr>
          <m:t>1</m:t>
        </m:r>
      </m:oMath>
      <w:r w:rsidR="0092557F">
        <w:rPr>
          <w:rFonts w:eastAsiaTheme="minorEastAsia" w:cs="Times New Roman"/>
          <w:szCs w:val="24"/>
          <w:lang w:val="en-GB"/>
        </w:rPr>
        <w:t xml:space="preserve"> </w:t>
      </w:r>
      <w:r w:rsidR="0092557F">
        <w:rPr>
          <w:rFonts w:eastAsiaTheme="minorEastAsia" w:cs="Times New Roman"/>
          <w:szCs w:val="24"/>
          <w:lang w:val="en-GB"/>
        </w:rPr>
        <w:tab/>
      </w:r>
      <w:r w:rsidR="0092557F">
        <w:rPr>
          <w:rFonts w:eastAsiaTheme="minorEastAsia" w:cs="Times New Roman"/>
          <w:szCs w:val="24"/>
          <w:lang w:val="en-GB"/>
        </w:rPr>
        <w:tab/>
      </w:r>
      <w:r w:rsidR="0092557F">
        <w:rPr>
          <w:rFonts w:eastAsiaTheme="minorEastAsia" w:cs="Times New Roman"/>
          <w:szCs w:val="24"/>
          <w:lang w:val="en-GB"/>
        </w:rPr>
        <w:tab/>
      </w:r>
      <w:r w:rsidR="0092557F">
        <w:rPr>
          <w:rFonts w:eastAsiaTheme="minorEastAsia" w:cs="Times New Roman"/>
          <w:szCs w:val="24"/>
          <w:lang w:val="en-GB"/>
        </w:rPr>
        <w:tab/>
      </w:r>
      <w:r w:rsidR="0092557F">
        <w:rPr>
          <w:rFonts w:eastAsiaTheme="minorEastAsia" w:cs="Times New Roman"/>
          <w:szCs w:val="24"/>
          <w:lang w:val="en-GB"/>
        </w:rPr>
        <w:tab/>
        <w:t>(</w:t>
      </w:r>
      <w:r w:rsidR="00E631D7">
        <w:rPr>
          <w:rFonts w:eastAsiaTheme="minorEastAsia" w:cs="Times New Roman"/>
          <w:szCs w:val="24"/>
          <w:lang w:val="en-GB"/>
        </w:rPr>
        <w:t>5</w:t>
      </w:r>
      <w:r w:rsidR="0092557F">
        <w:rPr>
          <w:rFonts w:eastAsiaTheme="minorEastAsia" w:cs="Times New Roman"/>
          <w:szCs w:val="24"/>
          <w:lang w:val="en-GB"/>
        </w:rPr>
        <w:t>)</w:t>
      </w:r>
    </w:p>
    <w:p w:rsidR="0092557F" w:rsidRPr="003E540C" w:rsidRDefault="0092557F" w:rsidP="009554EF">
      <w:pPr>
        <w:spacing w:line="480" w:lineRule="auto"/>
        <w:rPr>
          <w:rFonts w:cs="Times New Roman"/>
          <w:b/>
          <w:szCs w:val="24"/>
          <w:lang w:val="en-GB"/>
        </w:rPr>
      </w:pPr>
    </w:p>
    <w:p w:rsidR="00244DF8" w:rsidRPr="003E540C" w:rsidRDefault="005E76B2" w:rsidP="008A3791">
      <w:pPr>
        <w:spacing w:line="480" w:lineRule="auto"/>
        <w:ind w:firstLine="708"/>
        <w:rPr>
          <w:rFonts w:cs="Times New Roman"/>
          <w:color w:val="000000" w:themeColor="text1"/>
          <w:szCs w:val="24"/>
          <w:lang w:val="en-GB"/>
        </w:rPr>
      </w:pPr>
      <w:r w:rsidRPr="003E540C">
        <w:rPr>
          <w:rFonts w:cs="Times New Roman"/>
          <w:color w:val="000000" w:themeColor="text1"/>
          <w:szCs w:val="24"/>
          <w:lang w:val="en-GB"/>
        </w:rPr>
        <w:t xml:space="preserve">The results of this </w:t>
      </w:r>
      <w:r w:rsidR="0092557F">
        <w:rPr>
          <w:rFonts w:cs="Times New Roman"/>
          <w:color w:val="000000" w:themeColor="text1"/>
          <w:szCs w:val="24"/>
          <w:lang w:val="en-GB"/>
        </w:rPr>
        <w:t>part</w:t>
      </w:r>
      <w:r w:rsidR="00145EA6" w:rsidRPr="003E540C">
        <w:rPr>
          <w:rFonts w:cs="Times New Roman"/>
          <w:color w:val="000000" w:themeColor="text1"/>
          <w:szCs w:val="24"/>
          <w:lang w:val="en-GB"/>
        </w:rPr>
        <w:t xml:space="preserve"> will be </w:t>
      </w:r>
      <w:r w:rsidR="00FB741C" w:rsidRPr="003E540C">
        <w:rPr>
          <w:rFonts w:cs="Times New Roman"/>
          <w:color w:val="000000" w:themeColor="text1"/>
          <w:szCs w:val="24"/>
          <w:lang w:val="en-GB"/>
        </w:rPr>
        <w:t>especially</w:t>
      </w:r>
      <w:r w:rsidRPr="003E540C">
        <w:rPr>
          <w:rFonts w:cs="Times New Roman"/>
          <w:color w:val="000000" w:themeColor="text1"/>
          <w:szCs w:val="24"/>
          <w:lang w:val="en-GB"/>
        </w:rPr>
        <w:t xml:space="preserve"> useful, because</w:t>
      </w:r>
      <w:r w:rsidR="00145EA6" w:rsidRPr="003E540C">
        <w:rPr>
          <w:rFonts w:cs="Times New Roman"/>
          <w:color w:val="000000" w:themeColor="text1"/>
          <w:szCs w:val="24"/>
          <w:lang w:val="en-GB"/>
        </w:rPr>
        <w:t xml:space="preserve"> short sale is frequently prohibited in pension funds activity. </w:t>
      </w:r>
      <w:r w:rsidR="00FB741C" w:rsidRPr="003E540C">
        <w:rPr>
          <w:rFonts w:cs="Times New Roman"/>
          <w:color w:val="000000" w:themeColor="text1"/>
          <w:szCs w:val="24"/>
          <w:lang w:val="en-GB"/>
        </w:rPr>
        <w:t xml:space="preserve">It is also quite interesting if this constraint really limits the risk-reduction potential. Comparing the results from the first and second step we will deliver the answer </w:t>
      </w:r>
      <w:r w:rsidRPr="003E540C">
        <w:rPr>
          <w:rFonts w:cs="Times New Roman"/>
          <w:color w:val="000000" w:themeColor="text1"/>
          <w:szCs w:val="24"/>
          <w:lang w:val="en-GB"/>
        </w:rPr>
        <w:t xml:space="preserve">also to </w:t>
      </w:r>
      <w:r w:rsidR="00FB741C" w:rsidRPr="003E540C">
        <w:rPr>
          <w:rFonts w:cs="Times New Roman"/>
          <w:color w:val="000000" w:themeColor="text1"/>
          <w:szCs w:val="24"/>
          <w:lang w:val="en-GB"/>
        </w:rPr>
        <w:t>this research question.</w:t>
      </w:r>
    </w:p>
    <w:p w:rsidR="00145EA6" w:rsidRDefault="00145EA6" w:rsidP="009554EF">
      <w:pPr>
        <w:spacing w:line="480" w:lineRule="auto"/>
        <w:rPr>
          <w:rFonts w:cs="Times New Roman"/>
          <w:szCs w:val="24"/>
          <w:lang w:val="en-GB"/>
        </w:rPr>
      </w:pPr>
    </w:p>
    <w:p w:rsidR="009E66C1" w:rsidRDefault="009E66C1" w:rsidP="009554EF">
      <w:pPr>
        <w:spacing w:line="480" w:lineRule="auto"/>
        <w:rPr>
          <w:rFonts w:cs="Times New Roman"/>
          <w:szCs w:val="24"/>
          <w:lang w:val="en-GB"/>
        </w:rPr>
      </w:pPr>
    </w:p>
    <w:p w:rsidR="009E66C1" w:rsidRPr="003E540C" w:rsidRDefault="009E66C1" w:rsidP="009554EF">
      <w:pPr>
        <w:spacing w:line="480" w:lineRule="auto"/>
        <w:rPr>
          <w:rFonts w:cs="Times New Roman"/>
          <w:szCs w:val="24"/>
          <w:lang w:val="en-GB"/>
        </w:rPr>
      </w:pPr>
    </w:p>
    <w:p w:rsidR="008A3791" w:rsidRPr="003E540C" w:rsidRDefault="008A3791" w:rsidP="00227D2D">
      <w:pPr>
        <w:pStyle w:val="Akapitzlist"/>
        <w:numPr>
          <w:ilvl w:val="0"/>
          <w:numId w:val="1"/>
        </w:numPr>
        <w:spacing w:line="480" w:lineRule="auto"/>
        <w:rPr>
          <w:rFonts w:cs="Times New Roman"/>
          <w:b/>
          <w:szCs w:val="24"/>
          <w:lang w:val="en-GB"/>
        </w:rPr>
      </w:pPr>
      <w:r w:rsidRPr="003E540C">
        <w:rPr>
          <w:rFonts w:cs="Times New Roman"/>
          <w:b/>
          <w:szCs w:val="24"/>
          <w:lang w:val="en-GB"/>
        </w:rPr>
        <w:lastRenderedPageBreak/>
        <w:t>Data description</w:t>
      </w:r>
    </w:p>
    <w:p w:rsidR="008A3791" w:rsidRPr="003E540C" w:rsidRDefault="008A3791" w:rsidP="00227D2D">
      <w:pPr>
        <w:autoSpaceDE w:val="0"/>
        <w:autoSpaceDN w:val="0"/>
        <w:adjustRightInd w:val="0"/>
        <w:spacing w:line="480" w:lineRule="auto"/>
        <w:ind w:firstLine="708"/>
        <w:rPr>
          <w:rFonts w:eastAsia="Calibri" w:cs="Times New Roman"/>
          <w:szCs w:val="24"/>
          <w:lang w:val="en-GB"/>
        </w:rPr>
      </w:pPr>
      <w:r w:rsidRPr="003E540C">
        <w:rPr>
          <w:rFonts w:eastAsia="Calibri" w:cs="Times New Roman"/>
          <w:szCs w:val="24"/>
          <w:lang w:val="en-GB"/>
        </w:rPr>
        <w:t>In this study we use monthly data for the period 01.2002 – 12</w:t>
      </w:r>
      <w:r w:rsidR="00550D27" w:rsidRPr="003E540C">
        <w:rPr>
          <w:rFonts w:eastAsia="Calibri" w:cs="Times New Roman"/>
          <w:szCs w:val="24"/>
          <w:lang w:val="en-GB"/>
        </w:rPr>
        <w:t>.2011 and calculate logarithmic returns using indices closing values for the last business day of each month.</w:t>
      </w:r>
      <w:r w:rsidRPr="003E540C">
        <w:rPr>
          <w:rFonts w:eastAsia="Calibri" w:cs="Times New Roman"/>
          <w:szCs w:val="24"/>
          <w:lang w:val="en-GB"/>
        </w:rPr>
        <w:t xml:space="preserve"> </w:t>
      </w:r>
      <w:r w:rsidR="009E73D7" w:rsidRPr="003E540C">
        <w:rPr>
          <w:rFonts w:eastAsia="Calibri" w:cs="Times New Roman"/>
          <w:szCs w:val="24"/>
          <w:lang w:val="en-GB"/>
        </w:rPr>
        <w:t xml:space="preserve">We focus our </w:t>
      </w:r>
      <w:r w:rsidR="00550D27" w:rsidRPr="003E540C">
        <w:rPr>
          <w:rFonts w:eastAsia="Calibri" w:cs="Times New Roman"/>
          <w:szCs w:val="24"/>
          <w:lang w:val="en-GB"/>
        </w:rPr>
        <w:t xml:space="preserve">research </w:t>
      </w:r>
      <w:r w:rsidR="009E73D7" w:rsidRPr="003E540C">
        <w:rPr>
          <w:rFonts w:eastAsia="Calibri" w:cs="Times New Roman"/>
          <w:szCs w:val="24"/>
          <w:lang w:val="en-GB"/>
        </w:rPr>
        <w:t xml:space="preserve">attention </w:t>
      </w:r>
      <w:r w:rsidR="009A635E" w:rsidRPr="003E540C">
        <w:rPr>
          <w:rFonts w:eastAsia="Calibri" w:cs="Times New Roman"/>
          <w:szCs w:val="24"/>
          <w:lang w:val="en-GB"/>
        </w:rPr>
        <w:t xml:space="preserve">solely </w:t>
      </w:r>
      <w:r w:rsidR="009E73D7" w:rsidRPr="003E540C">
        <w:rPr>
          <w:rFonts w:eastAsia="Calibri" w:cs="Times New Roman"/>
          <w:szCs w:val="24"/>
          <w:lang w:val="en-GB"/>
        </w:rPr>
        <w:t xml:space="preserve">on </w:t>
      </w:r>
      <w:r w:rsidR="0006324A" w:rsidRPr="003E540C">
        <w:rPr>
          <w:rFonts w:eastAsia="Calibri" w:cs="Times New Roman"/>
          <w:szCs w:val="24"/>
          <w:lang w:val="en-GB"/>
        </w:rPr>
        <w:t>the equity sector</w:t>
      </w:r>
      <w:r w:rsidR="009E73D7" w:rsidRPr="003E540C">
        <w:rPr>
          <w:rFonts w:eastAsia="Calibri" w:cs="Times New Roman"/>
          <w:szCs w:val="24"/>
          <w:lang w:val="en-GB"/>
        </w:rPr>
        <w:t>.</w:t>
      </w:r>
      <w:r w:rsidR="006B2025" w:rsidRPr="003E540C">
        <w:rPr>
          <w:rFonts w:eastAsia="Calibri" w:cs="Times New Roman"/>
          <w:szCs w:val="24"/>
          <w:lang w:val="en-GB"/>
        </w:rPr>
        <w:t xml:space="preserve"> This choice is motivated by the existence</w:t>
      </w:r>
      <w:r w:rsidR="0006324A" w:rsidRPr="003E540C">
        <w:rPr>
          <w:rFonts w:eastAsia="Calibri" w:cs="Times New Roman"/>
          <w:szCs w:val="24"/>
          <w:lang w:val="en-GB"/>
        </w:rPr>
        <w:t xml:space="preserve"> of the broad and well established index of Polish stocks, while the bond</w:t>
      </w:r>
      <w:r w:rsidR="007E2575">
        <w:rPr>
          <w:rFonts w:eastAsia="Calibri" w:cs="Times New Roman"/>
          <w:szCs w:val="24"/>
          <w:lang w:val="en-GB"/>
        </w:rPr>
        <w:t>s’</w:t>
      </w:r>
      <w:r w:rsidR="0006324A" w:rsidRPr="003E540C">
        <w:rPr>
          <w:rFonts w:eastAsia="Calibri" w:cs="Times New Roman"/>
          <w:szCs w:val="24"/>
          <w:lang w:val="en-GB"/>
        </w:rPr>
        <w:t xml:space="preserve"> market</w:t>
      </w:r>
      <w:r w:rsidR="007E2575">
        <w:rPr>
          <w:rFonts w:eastAsia="Calibri" w:cs="Times New Roman"/>
          <w:szCs w:val="24"/>
          <w:lang w:val="en-GB"/>
        </w:rPr>
        <w:t xml:space="preserve"> indices</w:t>
      </w:r>
      <w:r w:rsidR="0006324A" w:rsidRPr="003E540C">
        <w:rPr>
          <w:rFonts w:eastAsia="Calibri" w:cs="Times New Roman"/>
          <w:szCs w:val="24"/>
          <w:lang w:val="en-GB"/>
        </w:rPr>
        <w:t xml:space="preserve"> </w:t>
      </w:r>
      <w:r w:rsidR="009A635E" w:rsidRPr="003E540C">
        <w:rPr>
          <w:rFonts w:eastAsia="Calibri" w:cs="Times New Roman"/>
          <w:szCs w:val="24"/>
          <w:lang w:val="en-GB"/>
        </w:rPr>
        <w:t xml:space="preserve">in Poland </w:t>
      </w:r>
      <w:r w:rsidR="0006324A" w:rsidRPr="003E540C">
        <w:rPr>
          <w:rFonts w:eastAsia="Calibri" w:cs="Times New Roman"/>
          <w:szCs w:val="24"/>
          <w:lang w:val="en-GB"/>
        </w:rPr>
        <w:t>do not have usually such a long history of listing. In this case the choice of Polish equities</w:t>
      </w:r>
      <w:r w:rsidR="00550D27" w:rsidRPr="003E540C">
        <w:rPr>
          <w:rFonts w:eastAsia="Calibri" w:cs="Times New Roman"/>
          <w:szCs w:val="24"/>
          <w:lang w:val="en-GB"/>
        </w:rPr>
        <w:t xml:space="preserve"> average</w:t>
      </w:r>
      <w:r w:rsidR="0006324A" w:rsidRPr="003E540C">
        <w:rPr>
          <w:rFonts w:eastAsia="Calibri" w:cs="Times New Roman"/>
          <w:szCs w:val="24"/>
          <w:lang w:val="en-GB"/>
        </w:rPr>
        <w:t xml:space="preserve"> is rather natural and we utilize WIG index published by Wars</w:t>
      </w:r>
      <w:r w:rsidR="00A21DE5" w:rsidRPr="003E540C">
        <w:rPr>
          <w:rFonts w:eastAsia="Calibri" w:cs="Times New Roman"/>
          <w:szCs w:val="24"/>
          <w:lang w:val="en-GB"/>
        </w:rPr>
        <w:t>aw Stock Exchange, denominated in PLN.</w:t>
      </w:r>
      <w:r w:rsidR="0006324A" w:rsidRPr="003E540C">
        <w:rPr>
          <w:rFonts w:eastAsia="Calibri" w:cs="Times New Roman"/>
          <w:szCs w:val="24"/>
          <w:lang w:val="en-GB"/>
        </w:rPr>
        <w:t xml:space="preserve"> </w:t>
      </w:r>
    </w:p>
    <w:p w:rsidR="008A3791" w:rsidRPr="003E540C" w:rsidRDefault="008A3791" w:rsidP="00227D2D">
      <w:pPr>
        <w:pStyle w:val="Default"/>
        <w:spacing w:line="480" w:lineRule="auto"/>
        <w:ind w:firstLine="708"/>
        <w:jc w:val="both"/>
        <w:rPr>
          <w:lang w:val="en-GB"/>
        </w:rPr>
      </w:pPr>
      <w:r w:rsidRPr="003E540C">
        <w:rPr>
          <w:rFonts w:eastAsia="Calibri"/>
          <w:lang w:val="en-GB"/>
        </w:rPr>
        <w:t xml:space="preserve">As a measure of </w:t>
      </w:r>
      <w:r w:rsidR="00537591" w:rsidRPr="003E540C">
        <w:rPr>
          <w:rFonts w:eastAsia="Calibri"/>
          <w:lang w:val="en-GB"/>
        </w:rPr>
        <w:t xml:space="preserve">foreign </w:t>
      </w:r>
      <w:r w:rsidRPr="003E540C">
        <w:rPr>
          <w:rFonts w:eastAsia="Calibri"/>
          <w:lang w:val="en-GB"/>
        </w:rPr>
        <w:t xml:space="preserve">stock market performance we employ two regional indices provided by </w:t>
      </w:r>
      <w:r w:rsidRPr="003E540C">
        <w:rPr>
          <w:lang w:val="en-GB"/>
        </w:rPr>
        <w:t xml:space="preserve">Morgan Stanley Capital International, namely: World (WRD) and </w:t>
      </w:r>
      <w:r w:rsidR="003F6337" w:rsidRPr="003E540C">
        <w:rPr>
          <w:lang w:val="en-GB"/>
        </w:rPr>
        <w:t xml:space="preserve">European Economic and Monetary Union </w:t>
      </w:r>
      <w:r w:rsidRPr="003E540C">
        <w:rPr>
          <w:lang w:val="en-GB"/>
        </w:rPr>
        <w:t>(EM</w:t>
      </w:r>
      <w:r w:rsidR="003F6337" w:rsidRPr="003E540C">
        <w:rPr>
          <w:lang w:val="en-GB"/>
        </w:rPr>
        <w:t>U</w:t>
      </w:r>
      <w:r w:rsidRPr="003E540C">
        <w:rPr>
          <w:lang w:val="en-GB"/>
        </w:rPr>
        <w:t>)</w:t>
      </w:r>
      <w:r w:rsidR="00455578" w:rsidRPr="003E540C">
        <w:rPr>
          <w:lang w:val="en-GB"/>
        </w:rPr>
        <w:t xml:space="preserve"> indices</w:t>
      </w:r>
      <w:r w:rsidRPr="003E540C">
        <w:rPr>
          <w:lang w:val="en-GB"/>
        </w:rPr>
        <w:t>. Nowadays, the WRD</w:t>
      </w:r>
      <w:r w:rsidR="003F6337" w:rsidRPr="003E540C">
        <w:rPr>
          <w:lang w:val="en-GB"/>
        </w:rPr>
        <w:t xml:space="preserve"> covers</w:t>
      </w:r>
      <w:r w:rsidRPr="003E540C">
        <w:rPr>
          <w:lang w:val="en-GB"/>
        </w:rPr>
        <w:t xml:space="preserve"> 24 </w:t>
      </w:r>
      <w:r w:rsidR="003F6337" w:rsidRPr="003E540C">
        <w:rPr>
          <w:lang w:val="en-GB"/>
        </w:rPr>
        <w:t>developed market country indices</w:t>
      </w:r>
      <w:r w:rsidRPr="003E540C">
        <w:rPr>
          <w:rStyle w:val="Odwoanieprzypisudolnego"/>
          <w:lang w:val="en-GB"/>
        </w:rPr>
        <w:footnoteReference w:id="4"/>
      </w:r>
      <w:r w:rsidR="003F6337" w:rsidRPr="003E540C">
        <w:rPr>
          <w:lang w:val="en-GB"/>
        </w:rPr>
        <w:t>, while EMU spans 11 local markets</w:t>
      </w:r>
      <w:r w:rsidR="00BB2C4E">
        <w:rPr>
          <w:lang w:val="en-GB"/>
        </w:rPr>
        <w:t xml:space="preserve"> (MSCI, 2012)</w:t>
      </w:r>
      <w:r w:rsidR="003F6337" w:rsidRPr="003E540C">
        <w:rPr>
          <w:lang w:val="en-GB"/>
        </w:rPr>
        <w:t>.</w:t>
      </w:r>
      <w:r w:rsidR="003F6337" w:rsidRPr="003E540C">
        <w:rPr>
          <w:rStyle w:val="Odwoanieprzypisudolnego"/>
          <w:lang w:val="en-GB"/>
        </w:rPr>
        <w:footnoteReference w:id="5"/>
      </w:r>
      <w:r w:rsidR="003F6337" w:rsidRPr="003E540C">
        <w:rPr>
          <w:lang w:val="en-GB"/>
        </w:rPr>
        <w:t xml:space="preserve"> The first of the regional proxies is denominated in USD, the second in EUR.</w:t>
      </w:r>
    </w:p>
    <w:p w:rsidR="00550D27" w:rsidRPr="003E540C" w:rsidRDefault="0066436A" w:rsidP="00227D2D">
      <w:pPr>
        <w:pStyle w:val="Default"/>
        <w:spacing w:line="480" w:lineRule="auto"/>
        <w:ind w:firstLine="708"/>
        <w:jc w:val="both"/>
        <w:rPr>
          <w:lang w:val="en-GB"/>
        </w:rPr>
      </w:pPr>
      <w:r w:rsidRPr="003E540C">
        <w:rPr>
          <w:lang w:val="en-GB"/>
        </w:rPr>
        <w:t xml:space="preserve">Comparing </w:t>
      </w:r>
      <w:r w:rsidR="007E2575">
        <w:rPr>
          <w:lang w:val="en-GB"/>
        </w:rPr>
        <w:t xml:space="preserve">the </w:t>
      </w:r>
      <w:r w:rsidRPr="003E540C">
        <w:rPr>
          <w:lang w:val="en-GB"/>
        </w:rPr>
        <w:t xml:space="preserve">rate of returns denominated in different currencies we ignore the exchange rate </w:t>
      </w:r>
      <w:r w:rsidR="0012789D" w:rsidRPr="003E540C">
        <w:rPr>
          <w:lang w:val="en-GB"/>
        </w:rPr>
        <w:t>fluctuations</w:t>
      </w:r>
      <w:r w:rsidRPr="003E540C">
        <w:rPr>
          <w:lang w:val="en-GB"/>
        </w:rPr>
        <w:t xml:space="preserve">. Such a situation is possible if the currency risk is fully hedged. </w:t>
      </w:r>
      <w:r w:rsidR="00455578" w:rsidRPr="003E540C">
        <w:rPr>
          <w:lang w:val="en-GB"/>
        </w:rPr>
        <w:t>Currently</w:t>
      </w:r>
      <w:r w:rsidRPr="003E540C">
        <w:rPr>
          <w:lang w:val="en-GB"/>
        </w:rPr>
        <w:t xml:space="preserve"> in Poland</w:t>
      </w:r>
      <w:r w:rsidR="00933DC3" w:rsidRPr="003E540C">
        <w:rPr>
          <w:lang w:val="en-GB"/>
        </w:rPr>
        <w:t>,</w:t>
      </w:r>
      <w:r w:rsidRPr="003E540C">
        <w:rPr>
          <w:lang w:val="en-GB"/>
        </w:rPr>
        <w:t xml:space="preserve"> the regulations regarding OPF prohibit this type of hedging. For this reason</w:t>
      </w:r>
      <w:r w:rsidR="005E26E6">
        <w:rPr>
          <w:lang w:val="en-GB"/>
        </w:rPr>
        <w:t>,</w:t>
      </w:r>
      <w:r w:rsidRPr="003E540C">
        <w:rPr>
          <w:lang w:val="en-GB"/>
        </w:rPr>
        <w:t xml:space="preserve"> we </w:t>
      </w:r>
      <w:r w:rsidR="0012789D" w:rsidRPr="003E540C">
        <w:rPr>
          <w:lang w:val="en-GB"/>
        </w:rPr>
        <w:t xml:space="preserve">utilize the spot exchange rates and </w:t>
      </w:r>
      <w:r w:rsidR="00933DC3" w:rsidRPr="003E540C">
        <w:rPr>
          <w:lang w:val="en-GB"/>
        </w:rPr>
        <w:t>recalculate the foreign indices into the PLN values. This transformation enables us to</w:t>
      </w:r>
      <w:r w:rsidR="00092EBA" w:rsidRPr="003E540C">
        <w:rPr>
          <w:lang w:val="en-GB"/>
        </w:rPr>
        <w:t xml:space="preserve"> present the perspective of Polish investor who does not hedge currency risk at all.</w:t>
      </w:r>
    </w:p>
    <w:p w:rsidR="008A3791" w:rsidRPr="003E540C" w:rsidRDefault="008A3791" w:rsidP="00E463F2">
      <w:pPr>
        <w:autoSpaceDE w:val="0"/>
        <w:autoSpaceDN w:val="0"/>
        <w:adjustRightInd w:val="0"/>
        <w:spacing w:line="480" w:lineRule="auto"/>
        <w:ind w:firstLine="708"/>
        <w:rPr>
          <w:rFonts w:cs="Times New Roman"/>
          <w:szCs w:val="24"/>
          <w:lang w:val="en-GB"/>
        </w:rPr>
      </w:pPr>
      <w:r w:rsidRPr="003E540C">
        <w:rPr>
          <w:rFonts w:cs="Times New Roman"/>
          <w:szCs w:val="24"/>
          <w:lang w:val="en-GB"/>
        </w:rPr>
        <w:t xml:space="preserve">All of the employed </w:t>
      </w:r>
      <w:r w:rsidR="00092EBA" w:rsidRPr="003E540C">
        <w:rPr>
          <w:rFonts w:cs="Times New Roman"/>
          <w:szCs w:val="24"/>
          <w:lang w:val="en-GB"/>
        </w:rPr>
        <w:t xml:space="preserve">equity indices and spot exchange rates </w:t>
      </w:r>
      <w:r w:rsidRPr="003E540C">
        <w:rPr>
          <w:rFonts w:cs="Times New Roman"/>
          <w:szCs w:val="24"/>
          <w:lang w:val="en-GB"/>
        </w:rPr>
        <w:t xml:space="preserve">time series were obtained from Thomson Reuters </w:t>
      </w:r>
      <w:proofErr w:type="spellStart"/>
      <w:r w:rsidRPr="003E540C">
        <w:rPr>
          <w:rFonts w:cs="Times New Roman"/>
          <w:szCs w:val="24"/>
          <w:lang w:val="en-GB"/>
        </w:rPr>
        <w:t>Datastream</w:t>
      </w:r>
      <w:proofErr w:type="spellEnd"/>
      <w:r w:rsidRPr="003E540C">
        <w:rPr>
          <w:rFonts w:cs="Times New Roman"/>
          <w:szCs w:val="24"/>
          <w:lang w:val="en-GB"/>
        </w:rPr>
        <w:t xml:space="preserve">. </w:t>
      </w:r>
      <w:r w:rsidR="00455578" w:rsidRPr="003E540C">
        <w:rPr>
          <w:rFonts w:cs="Times New Roman"/>
          <w:szCs w:val="24"/>
          <w:lang w:val="en-GB"/>
        </w:rPr>
        <w:t>We collect the data on OPF portfolios from KNF - Polish Financial Supervi</w:t>
      </w:r>
      <w:r w:rsidR="00BB2C4E">
        <w:rPr>
          <w:rFonts w:cs="Times New Roman"/>
          <w:szCs w:val="24"/>
          <w:lang w:val="en-GB"/>
        </w:rPr>
        <w:t>sion Authority website (KNF, 2012).</w:t>
      </w:r>
      <w:r w:rsidR="00455578" w:rsidRPr="003E540C">
        <w:rPr>
          <w:rFonts w:cs="Times New Roman"/>
          <w:szCs w:val="24"/>
          <w:lang w:val="en-GB"/>
        </w:rPr>
        <w:t xml:space="preserve"> </w:t>
      </w:r>
    </w:p>
    <w:p w:rsidR="00E463F2" w:rsidRPr="003E540C" w:rsidRDefault="00E463F2" w:rsidP="00E463F2">
      <w:pPr>
        <w:autoSpaceDE w:val="0"/>
        <w:autoSpaceDN w:val="0"/>
        <w:adjustRightInd w:val="0"/>
        <w:spacing w:line="480" w:lineRule="auto"/>
        <w:ind w:firstLine="708"/>
        <w:rPr>
          <w:rFonts w:cs="Times New Roman"/>
          <w:szCs w:val="24"/>
          <w:lang w:val="en-GB"/>
        </w:rPr>
      </w:pPr>
    </w:p>
    <w:p w:rsidR="008A3791" w:rsidRPr="003E540C" w:rsidRDefault="00E463F2" w:rsidP="00E463F2">
      <w:pPr>
        <w:pStyle w:val="Default"/>
        <w:numPr>
          <w:ilvl w:val="0"/>
          <w:numId w:val="1"/>
        </w:numPr>
        <w:spacing w:line="480" w:lineRule="auto"/>
        <w:jc w:val="both"/>
        <w:rPr>
          <w:b/>
          <w:color w:val="auto"/>
          <w:lang w:val="en-GB"/>
        </w:rPr>
      </w:pPr>
      <w:r w:rsidRPr="003E540C">
        <w:rPr>
          <w:b/>
          <w:color w:val="auto"/>
          <w:lang w:val="en-GB"/>
        </w:rPr>
        <w:lastRenderedPageBreak/>
        <w:t>Empirical results</w:t>
      </w:r>
    </w:p>
    <w:p w:rsidR="00E463F2" w:rsidRDefault="00E463F2" w:rsidP="00E463F2">
      <w:pPr>
        <w:autoSpaceDE w:val="0"/>
        <w:autoSpaceDN w:val="0"/>
        <w:adjustRightInd w:val="0"/>
        <w:spacing w:line="480" w:lineRule="auto"/>
        <w:ind w:firstLine="708"/>
        <w:rPr>
          <w:rFonts w:eastAsia="Calibri" w:cs="Times New Roman"/>
          <w:szCs w:val="24"/>
          <w:lang w:val="en-GB"/>
        </w:rPr>
      </w:pPr>
      <w:r w:rsidRPr="003E540C">
        <w:rPr>
          <w:rFonts w:eastAsia="Calibri" w:cs="Times New Roman"/>
          <w:szCs w:val="24"/>
          <w:lang w:val="en-GB"/>
        </w:rPr>
        <w:t>Assessing the diversification potential of foreign assets we start from the general outlook at the data series to make a few remarks regarding time series statistics and the conclusions for risk management process.</w:t>
      </w:r>
    </w:p>
    <w:p w:rsidR="004F7BAE" w:rsidRPr="004F7BAE" w:rsidRDefault="004F7BAE" w:rsidP="004F7BAE">
      <w:pPr>
        <w:jc w:val="center"/>
        <w:rPr>
          <w:rFonts w:cs="Times New Roman"/>
          <w:szCs w:val="24"/>
          <w:lang w:val="en-GB"/>
        </w:rPr>
      </w:pPr>
      <w:r w:rsidRPr="004F7BAE">
        <w:rPr>
          <w:rFonts w:cs="Times New Roman"/>
          <w:szCs w:val="24"/>
          <w:lang w:val="en-GB"/>
        </w:rPr>
        <w:t xml:space="preserve">[Insert Table </w:t>
      </w:r>
      <w:r>
        <w:rPr>
          <w:rFonts w:cs="Times New Roman"/>
          <w:szCs w:val="24"/>
          <w:lang w:val="en-GB"/>
        </w:rPr>
        <w:t>2</w:t>
      </w:r>
      <w:r w:rsidRPr="004F7BAE">
        <w:rPr>
          <w:rFonts w:cs="Times New Roman"/>
          <w:szCs w:val="24"/>
          <w:lang w:val="en-GB"/>
        </w:rPr>
        <w:t>. here]</w:t>
      </w:r>
    </w:p>
    <w:p w:rsidR="00BB2C4E" w:rsidRPr="003E540C" w:rsidRDefault="00BB2C4E" w:rsidP="00145EA6">
      <w:pPr>
        <w:autoSpaceDE w:val="0"/>
        <w:autoSpaceDN w:val="0"/>
        <w:adjustRightInd w:val="0"/>
        <w:jc w:val="left"/>
        <w:rPr>
          <w:rFonts w:cs="Times New Roman"/>
          <w:szCs w:val="24"/>
          <w:lang w:val="en-GB"/>
        </w:rPr>
      </w:pPr>
    </w:p>
    <w:p w:rsidR="008A3791" w:rsidRPr="003E540C" w:rsidRDefault="008A3791" w:rsidP="00145EA6">
      <w:pPr>
        <w:autoSpaceDE w:val="0"/>
        <w:autoSpaceDN w:val="0"/>
        <w:adjustRightInd w:val="0"/>
        <w:jc w:val="left"/>
        <w:rPr>
          <w:rFonts w:cs="Times New Roman"/>
          <w:szCs w:val="24"/>
          <w:lang w:val="en-GB"/>
        </w:rPr>
      </w:pPr>
    </w:p>
    <w:p w:rsidR="00ED44F0" w:rsidRPr="007333F9" w:rsidRDefault="00ED44F0" w:rsidP="007333F9">
      <w:pPr>
        <w:autoSpaceDE w:val="0"/>
        <w:autoSpaceDN w:val="0"/>
        <w:adjustRightInd w:val="0"/>
        <w:spacing w:line="480" w:lineRule="auto"/>
        <w:ind w:firstLine="708"/>
        <w:rPr>
          <w:rFonts w:cs="Times New Roman"/>
          <w:color w:val="000000" w:themeColor="text1"/>
          <w:szCs w:val="24"/>
          <w:lang w:val="en-GB"/>
        </w:rPr>
      </w:pPr>
      <w:r w:rsidRPr="00A07199">
        <w:rPr>
          <w:rFonts w:cs="Times New Roman"/>
          <w:color w:val="000000" w:themeColor="text1"/>
          <w:szCs w:val="24"/>
          <w:lang w:val="en-GB"/>
        </w:rPr>
        <w:t xml:space="preserve">The annualized returns vary significantly from the lowest </w:t>
      </w:r>
      <w:r w:rsidR="007333F9" w:rsidRPr="00A07199">
        <w:rPr>
          <w:rFonts w:cs="Times New Roman"/>
          <w:color w:val="000000" w:themeColor="text1"/>
          <w:szCs w:val="24"/>
          <w:lang w:val="en-GB"/>
        </w:rPr>
        <w:t xml:space="preserve">-1,17 % </w:t>
      </w:r>
      <w:r w:rsidRPr="00A07199">
        <w:rPr>
          <w:rFonts w:cs="Times New Roman"/>
          <w:color w:val="000000" w:themeColor="text1"/>
          <w:szCs w:val="24"/>
          <w:lang w:val="en-GB"/>
        </w:rPr>
        <w:t xml:space="preserve">for </w:t>
      </w:r>
      <w:r w:rsidR="007333F9" w:rsidRPr="00A07199">
        <w:rPr>
          <w:rFonts w:cs="Times New Roman"/>
          <w:color w:val="000000" w:themeColor="text1"/>
          <w:szCs w:val="24"/>
          <w:lang w:val="en-GB"/>
        </w:rPr>
        <w:t>EMU</w:t>
      </w:r>
      <w:r w:rsidR="00A07199" w:rsidRPr="00A07199">
        <w:rPr>
          <w:rFonts w:cs="Times New Roman"/>
          <w:szCs w:val="24"/>
          <w:lang w:val="en-GB"/>
        </w:rPr>
        <w:t>''</w:t>
      </w:r>
      <w:r w:rsidRPr="00A07199">
        <w:rPr>
          <w:rFonts w:cs="Times New Roman"/>
          <w:color w:val="000000" w:themeColor="text1"/>
          <w:szCs w:val="24"/>
          <w:lang w:val="en-GB"/>
        </w:rPr>
        <w:t xml:space="preserve"> to </w:t>
      </w:r>
      <w:r w:rsidR="007333F9" w:rsidRPr="00A07199">
        <w:rPr>
          <w:rFonts w:cs="Times New Roman"/>
          <w:color w:val="000000" w:themeColor="text1"/>
          <w:szCs w:val="24"/>
          <w:lang w:val="en-GB"/>
        </w:rPr>
        <w:t>9,46</w:t>
      </w:r>
      <w:r w:rsidRPr="00A07199">
        <w:rPr>
          <w:rFonts w:cs="Times New Roman"/>
          <w:color w:val="000000" w:themeColor="text1"/>
          <w:szCs w:val="24"/>
          <w:lang w:val="en-GB"/>
        </w:rPr>
        <w:t xml:space="preserve">% for </w:t>
      </w:r>
      <w:r w:rsidR="007333F9" w:rsidRPr="00A07199">
        <w:rPr>
          <w:rFonts w:cs="Times New Roman"/>
          <w:color w:val="000000" w:themeColor="text1"/>
          <w:szCs w:val="24"/>
          <w:lang w:val="en-GB"/>
        </w:rPr>
        <w:t>WIG and the existence of negative returns supports our verification</w:t>
      </w:r>
      <w:r w:rsidRPr="00A07199">
        <w:rPr>
          <w:rFonts w:cs="Times New Roman"/>
          <w:color w:val="000000" w:themeColor="text1"/>
          <w:szCs w:val="24"/>
          <w:lang w:val="en-GB"/>
        </w:rPr>
        <w:t xml:space="preserve"> approach</w:t>
      </w:r>
      <w:r w:rsidR="007333F9" w:rsidRPr="00A07199">
        <w:rPr>
          <w:rFonts w:cs="Times New Roman"/>
          <w:color w:val="000000" w:themeColor="text1"/>
          <w:szCs w:val="24"/>
          <w:lang w:val="en-GB"/>
        </w:rPr>
        <w:t>.</w:t>
      </w:r>
      <w:r w:rsidR="007333F9">
        <w:rPr>
          <w:rFonts w:cs="Times New Roman"/>
          <w:color w:val="000000" w:themeColor="text1"/>
          <w:szCs w:val="24"/>
          <w:lang w:val="en-GB"/>
        </w:rPr>
        <w:t xml:space="preserve"> </w:t>
      </w:r>
      <w:r w:rsidRPr="003E540C">
        <w:rPr>
          <w:rFonts w:cs="Times New Roman"/>
          <w:szCs w:val="24"/>
          <w:lang w:val="en-GB"/>
        </w:rPr>
        <w:t xml:space="preserve">In case of normal distribution the values of </w:t>
      </w:r>
      <w:proofErr w:type="spellStart"/>
      <w:r w:rsidRPr="003E540C">
        <w:rPr>
          <w:rFonts w:cs="Times New Roman"/>
          <w:szCs w:val="24"/>
          <w:lang w:val="en-GB"/>
        </w:rPr>
        <w:t>skewness</w:t>
      </w:r>
      <w:proofErr w:type="spellEnd"/>
      <w:r w:rsidRPr="003E540C">
        <w:rPr>
          <w:rFonts w:cs="Times New Roman"/>
          <w:szCs w:val="24"/>
          <w:lang w:val="en-GB"/>
        </w:rPr>
        <w:t xml:space="preserve"> and kurtosis statistics should be zero. As it is quite common for</w:t>
      </w:r>
      <w:r w:rsidR="00A07199">
        <w:rPr>
          <w:rFonts w:cs="Times New Roman"/>
          <w:szCs w:val="24"/>
          <w:lang w:val="en-GB"/>
        </w:rPr>
        <w:t xml:space="preserve"> the</w:t>
      </w:r>
      <w:r w:rsidRPr="003E540C">
        <w:rPr>
          <w:rFonts w:cs="Times New Roman"/>
          <w:szCs w:val="24"/>
          <w:lang w:val="en-GB"/>
        </w:rPr>
        <w:t xml:space="preserve"> financial assets returns series these parameters are most</w:t>
      </w:r>
      <w:r w:rsidR="00A07199">
        <w:rPr>
          <w:rFonts w:cs="Times New Roman"/>
          <w:szCs w:val="24"/>
          <w:lang w:val="en-GB"/>
        </w:rPr>
        <w:t xml:space="preserve">ly far from zero. For 3 </w:t>
      </w:r>
      <w:r w:rsidRPr="003E540C">
        <w:rPr>
          <w:rFonts w:cs="Times New Roman"/>
          <w:szCs w:val="24"/>
          <w:lang w:val="en-GB"/>
        </w:rPr>
        <w:t>of</w:t>
      </w:r>
      <w:r w:rsidR="00A07199">
        <w:rPr>
          <w:rFonts w:cs="Times New Roman"/>
          <w:szCs w:val="24"/>
          <w:lang w:val="en-GB"/>
        </w:rPr>
        <w:t xml:space="preserve"> 5 of</w:t>
      </w:r>
      <w:r w:rsidRPr="003E540C">
        <w:rPr>
          <w:rFonts w:cs="Times New Roman"/>
          <w:szCs w:val="24"/>
          <w:lang w:val="en-GB"/>
        </w:rPr>
        <w:t xml:space="preserve"> the analysed time series </w:t>
      </w:r>
      <w:proofErr w:type="spellStart"/>
      <w:r w:rsidRPr="003E540C">
        <w:rPr>
          <w:rFonts w:cs="Times New Roman"/>
          <w:szCs w:val="24"/>
          <w:lang w:val="en-GB"/>
        </w:rPr>
        <w:t>skewness</w:t>
      </w:r>
      <w:proofErr w:type="spellEnd"/>
      <w:r w:rsidRPr="003E540C">
        <w:rPr>
          <w:rFonts w:cs="Times New Roman"/>
          <w:szCs w:val="24"/>
          <w:lang w:val="en-GB"/>
        </w:rPr>
        <w:t xml:space="preserve"> is significantly lower than zero, indicating that returns distributions are skewed to the left. On the other hand</w:t>
      </w:r>
      <w:r w:rsidR="005E26E6">
        <w:rPr>
          <w:rFonts w:cs="Times New Roman"/>
          <w:szCs w:val="24"/>
          <w:lang w:val="en-GB"/>
        </w:rPr>
        <w:t>,</w:t>
      </w:r>
      <w:r w:rsidRPr="003E540C">
        <w:rPr>
          <w:rFonts w:cs="Times New Roman"/>
          <w:szCs w:val="24"/>
          <w:lang w:val="en-GB"/>
        </w:rPr>
        <w:t xml:space="preserve"> the values of kurtosis are </w:t>
      </w:r>
      <w:r w:rsidR="00A07199">
        <w:rPr>
          <w:rFonts w:cs="Times New Roman"/>
          <w:szCs w:val="24"/>
          <w:lang w:val="en-GB"/>
        </w:rPr>
        <w:t>everywhere</w:t>
      </w:r>
      <w:r w:rsidRPr="003E540C">
        <w:rPr>
          <w:rFonts w:cs="Times New Roman"/>
          <w:szCs w:val="24"/>
          <w:lang w:val="en-GB"/>
        </w:rPr>
        <w:t xml:space="preserve"> well above zero. Hence, the investigated distributions have a more acute peak around the mean and fatter tails comparing to normal one. This finding indicates that the probability of extreme market moves are higher than normal distribution predicts. Finally, the </w:t>
      </w:r>
      <w:proofErr w:type="spellStart"/>
      <w:r w:rsidRPr="003E540C">
        <w:rPr>
          <w:rFonts w:cs="Times New Roman"/>
          <w:szCs w:val="24"/>
          <w:lang w:val="en-GB"/>
        </w:rPr>
        <w:t>Jarque-Bera</w:t>
      </w:r>
      <w:proofErr w:type="spellEnd"/>
      <w:r w:rsidRPr="003E540C">
        <w:rPr>
          <w:rFonts w:cs="Times New Roman"/>
          <w:szCs w:val="24"/>
          <w:lang w:val="en-GB"/>
        </w:rPr>
        <w:t xml:space="preserve"> test rejects the null hypothesis on normality at 1% significance level for the majority of indices and the only exceptions </w:t>
      </w:r>
      <w:r w:rsidR="00AB5115" w:rsidRPr="003E540C">
        <w:rPr>
          <w:rFonts w:cs="Times New Roman"/>
          <w:szCs w:val="24"/>
          <w:lang w:val="en-GB"/>
        </w:rPr>
        <w:t>is EMU denominated in PLN (significant at 10%)</w:t>
      </w:r>
      <w:r w:rsidRPr="003E540C">
        <w:rPr>
          <w:rFonts w:cs="Times New Roman"/>
          <w:szCs w:val="24"/>
          <w:lang w:val="en-GB"/>
        </w:rPr>
        <w:t>.</w:t>
      </w:r>
    </w:p>
    <w:p w:rsidR="00ED44F0" w:rsidRPr="003E540C" w:rsidRDefault="00ED44F0" w:rsidP="007333F9">
      <w:pPr>
        <w:autoSpaceDE w:val="0"/>
        <w:autoSpaceDN w:val="0"/>
        <w:adjustRightInd w:val="0"/>
        <w:spacing w:line="480" w:lineRule="auto"/>
        <w:ind w:firstLine="708"/>
        <w:rPr>
          <w:rFonts w:cs="Times New Roman"/>
          <w:szCs w:val="24"/>
          <w:lang w:val="en-GB"/>
        </w:rPr>
      </w:pPr>
      <w:r w:rsidRPr="003E540C">
        <w:rPr>
          <w:rFonts w:cs="Times New Roman"/>
          <w:szCs w:val="24"/>
          <w:lang w:val="en-GB"/>
        </w:rPr>
        <w:t xml:space="preserve">Now we move to correlation analysis. Before we start to assess the degree of interdependence between variables we need to verify the </w:t>
      </w:r>
      <w:proofErr w:type="spellStart"/>
      <w:r w:rsidRPr="003E540C">
        <w:rPr>
          <w:rFonts w:cs="Times New Roman"/>
          <w:szCs w:val="24"/>
          <w:lang w:val="en-GB"/>
        </w:rPr>
        <w:t>stationarity</w:t>
      </w:r>
      <w:proofErr w:type="spellEnd"/>
      <w:r w:rsidRPr="003E540C">
        <w:rPr>
          <w:rFonts w:cs="Times New Roman"/>
          <w:szCs w:val="24"/>
          <w:lang w:val="en-GB"/>
        </w:rPr>
        <w:t xml:space="preserve"> of the investigated series. Unless time series are stationary, we are not able to obtain meaningful sample statistics. </w:t>
      </w:r>
    </w:p>
    <w:p w:rsidR="00AB5115" w:rsidRPr="003E540C" w:rsidRDefault="00AB5115" w:rsidP="007333F9">
      <w:pPr>
        <w:autoSpaceDE w:val="0"/>
        <w:autoSpaceDN w:val="0"/>
        <w:adjustRightInd w:val="0"/>
        <w:spacing w:line="480" w:lineRule="auto"/>
        <w:ind w:firstLine="708"/>
        <w:rPr>
          <w:rFonts w:cs="Times New Roman"/>
          <w:szCs w:val="24"/>
          <w:lang w:val="en-GB"/>
        </w:rPr>
      </w:pPr>
      <w:r w:rsidRPr="003E540C">
        <w:rPr>
          <w:rFonts w:cs="Times New Roman"/>
          <w:szCs w:val="24"/>
          <w:lang w:val="en-GB"/>
        </w:rPr>
        <w:t xml:space="preserve">We use two standard tests for this purpose: Augmented Dickey–Fuller (ADF) and Kwiatkowski–Phillips–Schmidt–Shin (KPSS). In case of ADF test null hypothesis states that series has a unit root (variable is not stationary), while null of KPPS states </w:t>
      </w:r>
      <w:r w:rsidRPr="003E540C">
        <w:rPr>
          <w:rFonts w:cs="Times New Roman"/>
          <w:szCs w:val="24"/>
          <w:lang w:val="en-GB"/>
        </w:rPr>
        <w:lastRenderedPageBreak/>
        <w:t xml:space="preserve">that variable is stationary. The test statistics for both of the tests have been presented in Table 3. </w:t>
      </w:r>
    </w:p>
    <w:p w:rsidR="004F7BAE" w:rsidRPr="004F7BAE" w:rsidRDefault="004F7BAE" w:rsidP="004F7BAE">
      <w:pPr>
        <w:jc w:val="center"/>
        <w:rPr>
          <w:rFonts w:cs="Times New Roman"/>
          <w:szCs w:val="24"/>
          <w:lang w:val="en-GB"/>
        </w:rPr>
      </w:pPr>
      <w:r w:rsidRPr="004F7BAE">
        <w:rPr>
          <w:rFonts w:cs="Times New Roman"/>
          <w:szCs w:val="24"/>
          <w:lang w:val="en-GB"/>
        </w:rPr>
        <w:t xml:space="preserve">[Insert Table </w:t>
      </w:r>
      <w:r>
        <w:rPr>
          <w:rFonts w:cs="Times New Roman"/>
          <w:szCs w:val="24"/>
          <w:lang w:val="en-GB"/>
        </w:rPr>
        <w:t>3</w:t>
      </w:r>
      <w:r w:rsidRPr="004F7BAE">
        <w:rPr>
          <w:rFonts w:cs="Times New Roman"/>
          <w:szCs w:val="24"/>
          <w:lang w:val="en-GB"/>
        </w:rPr>
        <w:t>. here]</w:t>
      </w:r>
    </w:p>
    <w:p w:rsidR="00AB5115" w:rsidRPr="003E540C" w:rsidRDefault="00AB5115" w:rsidP="00AB5115">
      <w:pPr>
        <w:autoSpaceDE w:val="0"/>
        <w:autoSpaceDN w:val="0"/>
        <w:adjustRightInd w:val="0"/>
        <w:jc w:val="left"/>
        <w:rPr>
          <w:rFonts w:cs="Times New Roman"/>
          <w:szCs w:val="24"/>
          <w:lang w:val="en-GB"/>
        </w:rPr>
      </w:pPr>
    </w:p>
    <w:p w:rsidR="00ED44F0" w:rsidRPr="003E540C" w:rsidRDefault="00ED44F0" w:rsidP="00ED44F0">
      <w:pPr>
        <w:autoSpaceDE w:val="0"/>
        <w:autoSpaceDN w:val="0"/>
        <w:adjustRightInd w:val="0"/>
        <w:spacing w:line="360" w:lineRule="auto"/>
        <w:ind w:firstLine="708"/>
        <w:rPr>
          <w:rFonts w:cs="Times New Roman"/>
          <w:szCs w:val="24"/>
          <w:lang w:val="en-GB"/>
        </w:rPr>
      </w:pPr>
    </w:p>
    <w:p w:rsidR="00AB5115" w:rsidRPr="003E540C" w:rsidRDefault="00AB5115" w:rsidP="007534AC">
      <w:pPr>
        <w:autoSpaceDE w:val="0"/>
        <w:autoSpaceDN w:val="0"/>
        <w:adjustRightInd w:val="0"/>
        <w:spacing w:line="480" w:lineRule="auto"/>
        <w:ind w:firstLine="708"/>
        <w:rPr>
          <w:rFonts w:cs="Times New Roman"/>
          <w:szCs w:val="24"/>
          <w:lang w:val="en-GB"/>
        </w:rPr>
      </w:pPr>
      <w:r w:rsidRPr="003E540C">
        <w:rPr>
          <w:rFonts w:cs="Times New Roman"/>
          <w:szCs w:val="24"/>
          <w:lang w:val="en-GB"/>
        </w:rPr>
        <w:t xml:space="preserve">In case of all of the analyzed variables KPPS test statistics are insignificant at 10% value, which strongly supports the null on </w:t>
      </w:r>
      <w:proofErr w:type="spellStart"/>
      <w:r w:rsidRPr="003E540C">
        <w:rPr>
          <w:rFonts w:cs="Times New Roman"/>
          <w:szCs w:val="24"/>
          <w:lang w:val="en-GB"/>
        </w:rPr>
        <w:t>stationarity</w:t>
      </w:r>
      <w:proofErr w:type="spellEnd"/>
      <w:r w:rsidRPr="003E540C">
        <w:rPr>
          <w:rFonts w:cs="Times New Roman"/>
          <w:szCs w:val="24"/>
          <w:lang w:val="en-GB"/>
        </w:rPr>
        <w:t xml:space="preserve">. ADF test results lead also to the similar conclusion rejecting the null hypothesis on unit root at 1% significance level for all of the time series. </w:t>
      </w:r>
      <w:r w:rsidR="00717FAF" w:rsidRPr="003E540C">
        <w:rPr>
          <w:rFonts w:cs="Times New Roman"/>
          <w:szCs w:val="24"/>
          <w:lang w:val="en-GB"/>
        </w:rPr>
        <w:t xml:space="preserve">These </w:t>
      </w:r>
      <w:r w:rsidRPr="003E540C">
        <w:rPr>
          <w:rFonts w:cs="Times New Roman"/>
          <w:szCs w:val="24"/>
          <w:lang w:val="en-GB"/>
        </w:rPr>
        <w:t xml:space="preserve">converging conclusions support the robustness of the results and enable us to run </w:t>
      </w:r>
      <w:r w:rsidR="00DF75A8">
        <w:rPr>
          <w:rFonts w:cs="Times New Roman"/>
          <w:szCs w:val="24"/>
          <w:lang w:val="en-GB"/>
        </w:rPr>
        <w:t xml:space="preserve">the </w:t>
      </w:r>
      <w:r w:rsidRPr="003E540C">
        <w:rPr>
          <w:rFonts w:cs="Times New Roman"/>
          <w:szCs w:val="24"/>
          <w:lang w:val="en-GB"/>
        </w:rPr>
        <w:t>correlation analysis.</w:t>
      </w:r>
    </w:p>
    <w:p w:rsidR="00717FAF" w:rsidRPr="003E540C" w:rsidRDefault="00717FAF" w:rsidP="007534AC">
      <w:pPr>
        <w:autoSpaceDE w:val="0"/>
        <w:autoSpaceDN w:val="0"/>
        <w:adjustRightInd w:val="0"/>
        <w:spacing w:line="480" w:lineRule="auto"/>
        <w:ind w:firstLine="708"/>
        <w:rPr>
          <w:rFonts w:cs="Times New Roman"/>
          <w:szCs w:val="24"/>
          <w:lang w:val="en-GB"/>
        </w:rPr>
      </w:pPr>
      <w:r w:rsidRPr="003E540C">
        <w:rPr>
          <w:rFonts w:cs="Times New Roman"/>
          <w:szCs w:val="24"/>
          <w:lang w:val="en-GB"/>
        </w:rPr>
        <w:t xml:space="preserve">We start from the </w:t>
      </w:r>
      <w:r w:rsidR="006B54D6" w:rsidRPr="003E540C">
        <w:rPr>
          <w:rFonts w:cs="Times New Roman"/>
          <w:szCs w:val="24"/>
          <w:lang w:val="en-GB"/>
        </w:rPr>
        <w:t xml:space="preserve">case with the returns denominated in different currencies. This applies to the situation, when the currency </w:t>
      </w:r>
      <w:r w:rsidR="00134A6F">
        <w:rPr>
          <w:rFonts w:cs="Times New Roman"/>
          <w:szCs w:val="24"/>
          <w:lang w:val="en-GB"/>
        </w:rPr>
        <w:t xml:space="preserve">volatility </w:t>
      </w:r>
      <w:r w:rsidR="006B54D6" w:rsidRPr="003E540C">
        <w:rPr>
          <w:rFonts w:cs="Times New Roman"/>
          <w:szCs w:val="24"/>
          <w:lang w:val="en-GB"/>
        </w:rPr>
        <w:t>can be perfectly hedged.</w:t>
      </w:r>
      <w:r w:rsidRPr="003E540C">
        <w:rPr>
          <w:rFonts w:cs="Times New Roman"/>
          <w:szCs w:val="24"/>
          <w:lang w:val="en-GB"/>
        </w:rPr>
        <w:t xml:space="preserve"> </w:t>
      </w:r>
      <w:r w:rsidR="006B54D6" w:rsidRPr="003E540C">
        <w:rPr>
          <w:rFonts w:cs="Times New Roman"/>
          <w:szCs w:val="24"/>
          <w:lang w:val="en-GB"/>
        </w:rPr>
        <w:t>Recall</w:t>
      </w:r>
      <w:r w:rsidRPr="003E540C">
        <w:rPr>
          <w:rFonts w:cs="Times New Roman"/>
          <w:szCs w:val="24"/>
          <w:lang w:val="en-GB"/>
        </w:rPr>
        <w:t xml:space="preserve">, the risk reduction </w:t>
      </w:r>
      <w:r w:rsidR="00E96025" w:rsidRPr="003E540C">
        <w:rPr>
          <w:rFonts w:cs="Times New Roman"/>
          <w:szCs w:val="24"/>
          <w:lang w:val="en-GB"/>
        </w:rPr>
        <w:t xml:space="preserve">potential </w:t>
      </w:r>
      <w:r w:rsidRPr="003E540C">
        <w:rPr>
          <w:rFonts w:cs="Times New Roman"/>
          <w:szCs w:val="24"/>
          <w:lang w:val="en-GB"/>
        </w:rPr>
        <w:t xml:space="preserve">is higher, when correlation coefficient is lower, </w:t>
      </w:r>
      <w:r w:rsidR="00134A6F">
        <w:rPr>
          <w:rFonts w:cs="Times New Roman"/>
          <w:szCs w:val="24"/>
          <w:lang w:val="en-GB"/>
        </w:rPr>
        <w:t>other things the same</w:t>
      </w:r>
      <w:r w:rsidRPr="003E540C">
        <w:rPr>
          <w:rFonts w:cs="Times New Roman"/>
          <w:szCs w:val="24"/>
          <w:lang w:val="en-GB"/>
        </w:rPr>
        <w:t>.</w:t>
      </w:r>
    </w:p>
    <w:p w:rsidR="004F7BAE" w:rsidRPr="004F7BAE" w:rsidRDefault="004F7BAE" w:rsidP="004F7BAE">
      <w:pPr>
        <w:jc w:val="center"/>
        <w:rPr>
          <w:rFonts w:cs="Times New Roman"/>
          <w:szCs w:val="24"/>
          <w:lang w:val="en-GB"/>
        </w:rPr>
      </w:pPr>
      <w:r w:rsidRPr="004F7BAE">
        <w:rPr>
          <w:rFonts w:cs="Times New Roman"/>
          <w:szCs w:val="24"/>
          <w:lang w:val="en-GB"/>
        </w:rPr>
        <w:t xml:space="preserve">[Insert Table </w:t>
      </w:r>
      <w:r>
        <w:rPr>
          <w:rFonts w:cs="Times New Roman"/>
          <w:szCs w:val="24"/>
          <w:lang w:val="en-GB"/>
        </w:rPr>
        <w:t>4</w:t>
      </w:r>
      <w:r w:rsidRPr="004F7BAE">
        <w:rPr>
          <w:rFonts w:cs="Times New Roman"/>
          <w:szCs w:val="24"/>
          <w:lang w:val="en-GB"/>
        </w:rPr>
        <w:t>. here]</w:t>
      </w:r>
    </w:p>
    <w:p w:rsidR="00ED44F0" w:rsidRPr="003E540C" w:rsidRDefault="00ED44F0" w:rsidP="004F7BAE">
      <w:pPr>
        <w:autoSpaceDE w:val="0"/>
        <w:autoSpaceDN w:val="0"/>
        <w:adjustRightInd w:val="0"/>
        <w:spacing w:line="480" w:lineRule="auto"/>
        <w:rPr>
          <w:rFonts w:cs="Times New Roman"/>
          <w:szCs w:val="24"/>
          <w:lang w:val="en-GB"/>
        </w:rPr>
      </w:pPr>
    </w:p>
    <w:p w:rsidR="00052DB4" w:rsidRPr="003E540C" w:rsidRDefault="00052DB4" w:rsidP="007534AC">
      <w:pPr>
        <w:autoSpaceDE w:val="0"/>
        <w:autoSpaceDN w:val="0"/>
        <w:adjustRightInd w:val="0"/>
        <w:spacing w:line="480" w:lineRule="auto"/>
        <w:ind w:firstLine="708"/>
        <w:rPr>
          <w:rFonts w:cs="Times New Roman"/>
          <w:szCs w:val="24"/>
          <w:lang w:val="en-GB"/>
        </w:rPr>
      </w:pPr>
      <w:r w:rsidRPr="003E540C">
        <w:rPr>
          <w:rFonts w:cs="Times New Roman"/>
          <w:szCs w:val="24"/>
          <w:lang w:val="en-GB"/>
        </w:rPr>
        <w:t xml:space="preserve">We observe that correlation coefficients in </w:t>
      </w:r>
      <w:r w:rsidR="00E96025">
        <w:rPr>
          <w:rFonts w:cs="Times New Roman"/>
          <w:szCs w:val="24"/>
          <w:lang w:val="en-GB"/>
        </w:rPr>
        <w:t>T</w:t>
      </w:r>
      <w:r w:rsidRPr="003E540C">
        <w:rPr>
          <w:rFonts w:cs="Times New Roman"/>
          <w:szCs w:val="24"/>
          <w:lang w:val="en-GB"/>
        </w:rPr>
        <w:t xml:space="preserve">able 4. </w:t>
      </w:r>
      <w:r w:rsidR="007534AC" w:rsidRPr="003E540C">
        <w:rPr>
          <w:rFonts w:cs="Times New Roman"/>
          <w:szCs w:val="24"/>
          <w:lang w:val="en-GB"/>
        </w:rPr>
        <w:t>ar</w:t>
      </w:r>
      <w:r w:rsidRPr="003E540C">
        <w:rPr>
          <w:rFonts w:cs="Times New Roman"/>
          <w:szCs w:val="24"/>
          <w:lang w:val="en-GB"/>
        </w:rPr>
        <w:t xml:space="preserve">e </w:t>
      </w:r>
      <w:r w:rsidR="007534AC" w:rsidRPr="003E540C">
        <w:rPr>
          <w:rFonts w:cs="Times New Roman"/>
          <w:szCs w:val="24"/>
          <w:lang w:val="en-GB"/>
        </w:rPr>
        <w:t>quite high</w:t>
      </w:r>
      <w:r w:rsidRPr="003E540C">
        <w:rPr>
          <w:rFonts w:cs="Times New Roman"/>
          <w:szCs w:val="24"/>
          <w:lang w:val="en-GB"/>
        </w:rPr>
        <w:t xml:space="preserve"> and the highest co-movement can be observed between the WRD and EMU indices. Correlation between Polish market and two regional indices is only a little bit lower. Consequently, after hedging the currency fluctuations the potential of international diversification seems to be rather limited.</w:t>
      </w:r>
    </w:p>
    <w:p w:rsidR="00052DB4" w:rsidRDefault="00052DB4" w:rsidP="007534AC">
      <w:pPr>
        <w:autoSpaceDE w:val="0"/>
        <w:autoSpaceDN w:val="0"/>
        <w:adjustRightInd w:val="0"/>
        <w:spacing w:line="480" w:lineRule="auto"/>
        <w:ind w:firstLine="708"/>
        <w:rPr>
          <w:rFonts w:cs="Times New Roman"/>
          <w:szCs w:val="24"/>
          <w:lang w:val="en-GB"/>
        </w:rPr>
      </w:pPr>
      <w:r w:rsidRPr="003E540C">
        <w:rPr>
          <w:rFonts w:cs="Times New Roman"/>
          <w:szCs w:val="24"/>
          <w:lang w:val="en-GB"/>
        </w:rPr>
        <w:t>The situation changes, when ind</w:t>
      </w:r>
      <w:r w:rsidR="007534AC" w:rsidRPr="003E540C">
        <w:rPr>
          <w:rFonts w:cs="Times New Roman"/>
          <w:szCs w:val="24"/>
          <w:lang w:val="en-GB"/>
        </w:rPr>
        <w:t>ices values are recalculated in</w:t>
      </w:r>
      <w:r w:rsidRPr="003E540C">
        <w:rPr>
          <w:rFonts w:cs="Times New Roman"/>
          <w:szCs w:val="24"/>
          <w:lang w:val="en-GB"/>
        </w:rPr>
        <w:t xml:space="preserve">to PLN ones. The </w:t>
      </w:r>
      <w:r w:rsidR="00E96025">
        <w:rPr>
          <w:rFonts w:cs="Times New Roman"/>
          <w:szCs w:val="24"/>
          <w:lang w:val="en-GB"/>
        </w:rPr>
        <w:t>T</w:t>
      </w:r>
      <w:r w:rsidRPr="003E540C">
        <w:rPr>
          <w:rFonts w:cs="Times New Roman"/>
          <w:szCs w:val="24"/>
          <w:lang w:val="en-GB"/>
        </w:rPr>
        <w:t xml:space="preserve">able 5. </w:t>
      </w:r>
      <w:r w:rsidR="007534AC" w:rsidRPr="003E540C">
        <w:rPr>
          <w:rFonts w:cs="Times New Roman"/>
          <w:szCs w:val="24"/>
          <w:lang w:val="en-GB"/>
        </w:rPr>
        <w:t>p</w:t>
      </w:r>
      <w:r w:rsidRPr="003E540C">
        <w:rPr>
          <w:rFonts w:cs="Times New Roman"/>
          <w:szCs w:val="24"/>
          <w:lang w:val="en-GB"/>
        </w:rPr>
        <w:t>resents the diversification opportunities f</w:t>
      </w:r>
      <w:r w:rsidR="00CF274B" w:rsidRPr="003E540C">
        <w:rPr>
          <w:rFonts w:cs="Times New Roman"/>
          <w:szCs w:val="24"/>
          <w:lang w:val="en-GB"/>
        </w:rPr>
        <w:t>r</w:t>
      </w:r>
      <w:r w:rsidRPr="003E540C">
        <w:rPr>
          <w:rFonts w:cs="Times New Roman"/>
          <w:szCs w:val="24"/>
          <w:lang w:val="en-GB"/>
        </w:rPr>
        <w:t xml:space="preserve">om the perspective of Polish investor, who is not hedging exchange rate </w:t>
      </w:r>
      <w:r w:rsidR="00DF75A8">
        <w:rPr>
          <w:rFonts w:cs="Times New Roman"/>
          <w:szCs w:val="24"/>
          <w:lang w:val="en-GB"/>
        </w:rPr>
        <w:t>risk.</w:t>
      </w:r>
    </w:p>
    <w:p w:rsidR="004F7BAE" w:rsidRPr="004F7BAE" w:rsidRDefault="004F7BAE" w:rsidP="004F7BAE">
      <w:pPr>
        <w:jc w:val="center"/>
        <w:rPr>
          <w:rFonts w:cs="Times New Roman"/>
          <w:szCs w:val="24"/>
          <w:lang w:val="en-GB"/>
        </w:rPr>
      </w:pPr>
      <w:r w:rsidRPr="004F7BAE">
        <w:rPr>
          <w:rFonts w:cs="Times New Roman"/>
          <w:szCs w:val="24"/>
          <w:lang w:val="en-GB"/>
        </w:rPr>
        <w:t xml:space="preserve">[Insert Table </w:t>
      </w:r>
      <w:r>
        <w:rPr>
          <w:rFonts w:cs="Times New Roman"/>
          <w:szCs w:val="24"/>
          <w:lang w:val="en-GB"/>
        </w:rPr>
        <w:t>5</w:t>
      </w:r>
      <w:r w:rsidRPr="004F7BAE">
        <w:rPr>
          <w:rFonts w:cs="Times New Roman"/>
          <w:szCs w:val="24"/>
          <w:lang w:val="en-GB"/>
        </w:rPr>
        <w:t>. here]</w:t>
      </w:r>
    </w:p>
    <w:p w:rsidR="00CA63D6" w:rsidRDefault="00CA63D6" w:rsidP="00145EA6">
      <w:pPr>
        <w:autoSpaceDE w:val="0"/>
        <w:autoSpaceDN w:val="0"/>
        <w:adjustRightInd w:val="0"/>
        <w:jc w:val="left"/>
        <w:rPr>
          <w:rFonts w:cs="Times New Roman"/>
          <w:szCs w:val="24"/>
          <w:lang w:val="en-GB"/>
        </w:rPr>
      </w:pPr>
    </w:p>
    <w:p w:rsidR="004F7BAE" w:rsidRPr="003E540C" w:rsidRDefault="004F7BAE" w:rsidP="00145EA6">
      <w:pPr>
        <w:autoSpaceDE w:val="0"/>
        <w:autoSpaceDN w:val="0"/>
        <w:adjustRightInd w:val="0"/>
        <w:jc w:val="left"/>
        <w:rPr>
          <w:rFonts w:cs="Times New Roman"/>
          <w:szCs w:val="24"/>
          <w:lang w:val="en-GB"/>
        </w:rPr>
      </w:pPr>
    </w:p>
    <w:p w:rsidR="0037271F" w:rsidRPr="003E540C" w:rsidRDefault="007534AC" w:rsidP="00D55D5D">
      <w:pPr>
        <w:autoSpaceDE w:val="0"/>
        <w:autoSpaceDN w:val="0"/>
        <w:adjustRightInd w:val="0"/>
        <w:spacing w:line="480" w:lineRule="auto"/>
        <w:ind w:firstLine="708"/>
        <w:rPr>
          <w:rFonts w:cs="Times New Roman"/>
          <w:szCs w:val="24"/>
          <w:lang w:val="en-US"/>
        </w:rPr>
      </w:pPr>
      <w:r w:rsidRPr="003E540C">
        <w:rPr>
          <w:rFonts w:cs="Times New Roman"/>
          <w:szCs w:val="24"/>
          <w:lang w:val="en-GB"/>
        </w:rPr>
        <w:t>We conclude that</w:t>
      </w:r>
      <w:r w:rsidR="0037271F" w:rsidRPr="003E540C">
        <w:rPr>
          <w:rFonts w:cs="Times New Roman"/>
          <w:szCs w:val="24"/>
          <w:lang w:val="en-GB"/>
        </w:rPr>
        <w:t xml:space="preserve"> in case of Poland the</w:t>
      </w:r>
      <w:r w:rsidRPr="003E540C">
        <w:rPr>
          <w:rFonts w:cs="Times New Roman"/>
          <w:szCs w:val="24"/>
          <w:lang w:val="en-GB"/>
        </w:rPr>
        <w:t xml:space="preserve"> diversification potential of international</w:t>
      </w:r>
      <w:r w:rsidR="00CA63D6">
        <w:rPr>
          <w:rFonts w:cs="Times New Roman"/>
          <w:szCs w:val="24"/>
          <w:lang w:val="en-GB"/>
        </w:rPr>
        <w:t xml:space="preserve"> </w:t>
      </w:r>
      <w:r w:rsidR="00DF75A8" w:rsidRPr="00CA63D6">
        <w:rPr>
          <w:rFonts w:cs="Times New Roman"/>
          <w:szCs w:val="24"/>
          <w:lang w:val="en-GB"/>
        </w:rPr>
        <w:t xml:space="preserve">equity </w:t>
      </w:r>
      <w:r w:rsidRPr="00CA63D6">
        <w:rPr>
          <w:rFonts w:cs="Times New Roman"/>
          <w:szCs w:val="24"/>
          <w:lang w:val="en-GB"/>
        </w:rPr>
        <w:t xml:space="preserve">investing has its root mainly in </w:t>
      </w:r>
      <w:r w:rsidR="00CA63D6" w:rsidRPr="00CA63D6">
        <w:rPr>
          <w:rFonts w:cs="Times New Roman"/>
          <w:szCs w:val="24"/>
          <w:lang w:val="en-GB"/>
        </w:rPr>
        <w:t>the</w:t>
      </w:r>
      <w:r w:rsidR="006D477F" w:rsidRPr="00CA63D6">
        <w:rPr>
          <w:rFonts w:cs="Times New Roman"/>
          <w:szCs w:val="24"/>
          <w:lang w:val="en-GB"/>
        </w:rPr>
        <w:t xml:space="preserve"> </w:t>
      </w:r>
      <w:r w:rsidRPr="00CA63D6">
        <w:rPr>
          <w:rFonts w:cs="Times New Roman"/>
          <w:szCs w:val="24"/>
          <w:lang w:val="en-GB"/>
        </w:rPr>
        <w:t xml:space="preserve">exchange rate fluctuations rather than </w:t>
      </w:r>
      <w:r w:rsidR="006D477F" w:rsidRPr="00CA63D6">
        <w:rPr>
          <w:rFonts w:cs="Times New Roman"/>
          <w:szCs w:val="24"/>
          <w:lang w:val="en-GB"/>
        </w:rPr>
        <w:t>cross-</w:t>
      </w:r>
      <w:r w:rsidR="006D477F" w:rsidRPr="00CA63D6">
        <w:rPr>
          <w:rFonts w:cs="Times New Roman"/>
          <w:szCs w:val="24"/>
          <w:lang w:val="en-GB"/>
        </w:rPr>
        <w:lastRenderedPageBreak/>
        <w:t xml:space="preserve">country varying </w:t>
      </w:r>
      <w:r w:rsidR="0037271F" w:rsidRPr="00CA63D6">
        <w:rPr>
          <w:rFonts w:cs="Times New Roman"/>
          <w:szCs w:val="24"/>
          <w:lang w:val="en-GB"/>
        </w:rPr>
        <w:t xml:space="preserve">equity </w:t>
      </w:r>
      <w:r w:rsidR="00CA63D6" w:rsidRPr="00CA63D6">
        <w:rPr>
          <w:rFonts w:cs="Times New Roman"/>
          <w:szCs w:val="24"/>
          <w:lang w:val="en-GB"/>
        </w:rPr>
        <w:t>market trends.</w:t>
      </w:r>
      <w:r w:rsidR="0037271F" w:rsidRPr="00CA63D6">
        <w:rPr>
          <w:rFonts w:cs="Times New Roman"/>
          <w:szCs w:val="24"/>
          <w:lang w:val="en-GB"/>
        </w:rPr>
        <w:t xml:space="preserve"> </w:t>
      </w:r>
      <w:r w:rsidR="0037271F" w:rsidRPr="00CA63D6">
        <w:rPr>
          <w:rFonts w:cs="Times New Roman"/>
          <w:szCs w:val="24"/>
          <w:lang w:val="en-US"/>
        </w:rPr>
        <w:t>Probably</w:t>
      </w:r>
      <w:r w:rsidR="0037271F" w:rsidRPr="003E540C">
        <w:rPr>
          <w:rFonts w:cs="Times New Roman"/>
          <w:szCs w:val="24"/>
          <w:lang w:val="en-US"/>
        </w:rPr>
        <w:t xml:space="preserve"> the following mechanism is in work: whenever global risk aversion rises, the capital flows from the stock market to the “safe-heavens” assets like US T-bonds, German bunds et</w:t>
      </w:r>
      <w:r w:rsidR="00CA63D6">
        <w:rPr>
          <w:rFonts w:cs="Times New Roman"/>
          <w:szCs w:val="24"/>
          <w:lang w:val="en-US"/>
        </w:rPr>
        <w:t>c</w:t>
      </w:r>
      <w:r w:rsidR="0037271F" w:rsidRPr="003E540C">
        <w:rPr>
          <w:rFonts w:cs="Times New Roman"/>
          <w:szCs w:val="24"/>
          <w:lang w:val="en-US"/>
        </w:rPr>
        <w:t xml:space="preserve">. This leads to the appreciation of USD and EUR against emerging market currencies. Hence, </w:t>
      </w:r>
      <w:r w:rsidR="00CA4846" w:rsidRPr="003E540C">
        <w:rPr>
          <w:rFonts w:cs="Times New Roman"/>
          <w:szCs w:val="24"/>
          <w:lang w:val="en-US"/>
        </w:rPr>
        <w:t>from the perspective of</w:t>
      </w:r>
      <w:r w:rsidR="00134A6F">
        <w:rPr>
          <w:rFonts w:cs="Times New Roman"/>
          <w:szCs w:val="24"/>
          <w:lang w:val="en-US"/>
        </w:rPr>
        <w:t xml:space="preserve"> the</w:t>
      </w:r>
      <w:r w:rsidR="00CA4846" w:rsidRPr="003E540C">
        <w:rPr>
          <w:rFonts w:cs="Times New Roman"/>
          <w:szCs w:val="24"/>
          <w:lang w:val="en-US"/>
        </w:rPr>
        <w:t xml:space="preserve"> emerging market investor </w:t>
      </w:r>
      <w:r w:rsidR="0037271F" w:rsidRPr="003E540C">
        <w:rPr>
          <w:rFonts w:cs="Times New Roman"/>
          <w:szCs w:val="24"/>
          <w:lang w:val="en-US"/>
        </w:rPr>
        <w:t>foreign currency appreciation effect neutralizes falling equity prices</w:t>
      </w:r>
      <w:r w:rsidR="00CA4846">
        <w:rPr>
          <w:rFonts w:cs="Times New Roman"/>
          <w:szCs w:val="24"/>
          <w:lang w:val="en-US"/>
        </w:rPr>
        <w:t xml:space="preserve"> in the developed countries</w:t>
      </w:r>
      <w:r w:rsidR="006D477F">
        <w:rPr>
          <w:rFonts w:cs="Times New Roman"/>
          <w:szCs w:val="24"/>
          <w:lang w:val="en-US"/>
        </w:rPr>
        <w:t>.</w:t>
      </w:r>
      <w:r w:rsidR="0037271F" w:rsidRPr="003E540C">
        <w:rPr>
          <w:rFonts w:cs="Times New Roman"/>
          <w:szCs w:val="24"/>
          <w:lang w:val="en-US"/>
        </w:rPr>
        <w:t xml:space="preserve"> </w:t>
      </w:r>
    </w:p>
    <w:p w:rsidR="00A4059D" w:rsidRDefault="0038114D" w:rsidP="00D55D5D">
      <w:pPr>
        <w:autoSpaceDE w:val="0"/>
        <w:autoSpaceDN w:val="0"/>
        <w:adjustRightInd w:val="0"/>
        <w:spacing w:line="480" w:lineRule="auto"/>
        <w:ind w:firstLine="708"/>
        <w:rPr>
          <w:rFonts w:cs="Times New Roman"/>
          <w:szCs w:val="24"/>
          <w:lang w:val="en-US"/>
        </w:rPr>
      </w:pPr>
      <w:r w:rsidRPr="003E540C">
        <w:rPr>
          <w:rFonts w:cs="Times New Roman"/>
          <w:szCs w:val="24"/>
          <w:lang w:val="en-US"/>
        </w:rPr>
        <w:t>In the last step of our verification procedure we look for t</w:t>
      </w:r>
      <w:r w:rsidR="0032177D" w:rsidRPr="003E540C">
        <w:rPr>
          <w:rFonts w:cs="Times New Roman"/>
          <w:szCs w:val="24"/>
          <w:lang w:val="en-US"/>
        </w:rPr>
        <w:t>he share of foreign assets that</w:t>
      </w:r>
      <w:r w:rsidRPr="003E540C">
        <w:rPr>
          <w:rFonts w:cs="Times New Roman"/>
          <w:szCs w:val="24"/>
          <w:lang w:val="en-US"/>
        </w:rPr>
        <w:t xml:space="preserve"> minimizes the portfolio risk (</w:t>
      </w:r>
      <w:r w:rsidR="00E631D7">
        <w:rPr>
          <w:rFonts w:cs="Times New Roman"/>
          <w:szCs w:val="24"/>
          <w:lang w:val="en-US"/>
        </w:rPr>
        <w:t>3</w:t>
      </w:r>
      <w:r w:rsidRPr="003E540C">
        <w:rPr>
          <w:rFonts w:cs="Times New Roman"/>
          <w:szCs w:val="24"/>
          <w:lang w:val="en-US"/>
        </w:rPr>
        <w:t>).</w:t>
      </w:r>
      <w:r w:rsidR="0032177D" w:rsidRPr="003E540C">
        <w:rPr>
          <w:rFonts w:cs="Times New Roman"/>
          <w:szCs w:val="24"/>
          <w:lang w:val="en-US"/>
        </w:rPr>
        <w:t xml:space="preserve"> </w:t>
      </w:r>
      <w:r w:rsidR="00DF1760">
        <w:rPr>
          <w:rFonts w:cs="Times New Roman"/>
          <w:szCs w:val="24"/>
          <w:lang w:val="en-US"/>
        </w:rPr>
        <w:t>We</w:t>
      </w:r>
      <w:r w:rsidR="0032177D" w:rsidRPr="003E540C">
        <w:rPr>
          <w:rFonts w:cs="Times New Roman"/>
          <w:szCs w:val="24"/>
          <w:lang w:val="en-US"/>
        </w:rPr>
        <w:t xml:space="preserve"> run the optimization procedure for two assets portfolio containing the WIG index and one proxy of foreign equity market (WRD and EMU). We provide t</w:t>
      </w:r>
    </w:p>
    <w:p w:rsidR="0038114D" w:rsidRDefault="0032177D" w:rsidP="00D55D5D">
      <w:pPr>
        <w:autoSpaceDE w:val="0"/>
        <w:autoSpaceDN w:val="0"/>
        <w:adjustRightInd w:val="0"/>
        <w:spacing w:line="480" w:lineRule="auto"/>
        <w:ind w:firstLine="708"/>
        <w:rPr>
          <w:rFonts w:cs="Times New Roman"/>
          <w:szCs w:val="24"/>
          <w:lang w:val="en-US"/>
        </w:rPr>
      </w:pPr>
      <w:r w:rsidRPr="003E540C">
        <w:rPr>
          <w:rFonts w:cs="Times New Roman"/>
          <w:szCs w:val="24"/>
          <w:lang w:val="en-US"/>
        </w:rPr>
        <w:t>he results with and without short sale constraint.</w:t>
      </w:r>
    </w:p>
    <w:p w:rsidR="004F7BAE" w:rsidRDefault="004F7BAE" w:rsidP="004F7BAE">
      <w:pPr>
        <w:jc w:val="center"/>
        <w:rPr>
          <w:rFonts w:cs="Times New Roman"/>
          <w:szCs w:val="24"/>
          <w:lang w:val="en-GB"/>
        </w:rPr>
      </w:pPr>
      <w:r w:rsidRPr="004F7BAE">
        <w:rPr>
          <w:rFonts w:cs="Times New Roman"/>
          <w:szCs w:val="24"/>
          <w:lang w:val="en-GB"/>
        </w:rPr>
        <w:t xml:space="preserve">[Insert Table </w:t>
      </w:r>
      <w:r>
        <w:rPr>
          <w:rFonts w:cs="Times New Roman"/>
          <w:szCs w:val="24"/>
          <w:lang w:val="en-GB"/>
        </w:rPr>
        <w:t>6</w:t>
      </w:r>
      <w:r w:rsidRPr="004F7BAE">
        <w:rPr>
          <w:rFonts w:cs="Times New Roman"/>
          <w:szCs w:val="24"/>
          <w:lang w:val="en-GB"/>
        </w:rPr>
        <w:t>. here]</w:t>
      </w:r>
    </w:p>
    <w:p w:rsidR="004F7BAE" w:rsidRDefault="004F7BAE" w:rsidP="004F7BAE">
      <w:pPr>
        <w:jc w:val="center"/>
        <w:rPr>
          <w:rFonts w:cs="Times New Roman"/>
          <w:szCs w:val="24"/>
          <w:lang w:val="en-GB"/>
        </w:rPr>
      </w:pPr>
    </w:p>
    <w:p w:rsidR="004F7BAE" w:rsidRPr="004F7BAE" w:rsidRDefault="004F7BAE" w:rsidP="004F7BAE">
      <w:pPr>
        <w:jc w:val="center"/>
        <w:rPr>
          <w:rFonts w:cs="Times New Roman"/>
          <w:szCs w:val="24"/>
          <w:lang w:val="en-GB"/>
        </w:rPr>
      </w:pPr>
      <w:r w:rsidRPr="004F7BAE">
        <w:rPr>
          <w:rFonts w:cs="Times New Roman"/>
          <w:szCs w:val="24"/>
          <w:lang w:val="en-GB"/>
        </w:rPr>
        <w:t xml:space="preserve">[Insert Table </w:t>
      </w:r>
      <w:r>
        <w:rPr>
          <w:rFonts w:cs="Times New Roman"/>
          <w:szCs w:val="24"/>
          <w:lang w:val="en-GB"/>
        </w:rPr>
        <w:t>7</w:t>
      </w:r>
      <w:r w:rsidRPr="004F7BAE">
        <w:rPr>
          <w:rFonts w:cs="Times New Roman"/>
          <w:szCs w:val="24"/>
          <w:lang w:val="en-GB"/>
        </w:rPr>
        <w:t>. here]</w:t>
      </w:r>
    </w:p>
    <w:p w:rsidR="00422D01" w:rsidRDefault="00422D01" w:rsidP="00145EA6">
      <w:pPr>
        <w:autoSpaceDE w:val="0"/>
        <w:autoSpaceDN w:val="0"/>
        <w:adjustRightInd w:val="0"/>
        <w:jc w:val="left"/>
        <w:rPr>
          <w:rFonts w:cs="Times New Roman"/>
          <w:szCs w:val="24"/>
          <w:lang w:val="en-GB"/>
        </w:rPr>
      </w:pPr>
    </w:p>
    <w:p w:rsidR="004F7BAE" w:rsidRPr="003E540C" w:rsidRDefault="004F7BAE" w:rsidP="00145EA6">
      <w:pPr>
        <w:autoSpaceDE w:val="0"/>
        <w:autoSpaceDN w:val="0"/>
        <w:adjustRightInd w:val="0"/>
        <w:jc w:val="left"/>
        <w:rPr>
          <w:rFonts w:cs="Times New Roman"/>
          <w:szCs w:val="24"/>
          <w:lang w:val="en-US"/>
        </w:rPr>
      </w:pPr>
    </w:p>
    <w:p w:rsidR="00422D01" w:rsidRPr="003E540C" w:rsidRDefault="00422D01" w:rsidP="00422D01">
      <w:pPr>
        <w:autoSpaceDE w:val="0"/>
        <w:autoSpaceDN w:val="0"/>
        <w:adjustRightInd w:val="0"/>
        <w:spacing w:line="480" w:lineRule="auto"/>
        <w:ind w:firstLine="708"/>
        <w:rPr>
          <w:rFonts w:cs="Times New Roman"/>
          <w:szCs w:val="24"/>
          <w:lang w:val="en-US"/>
        </w:rPr>
      </w:pPr>
      <w:r w:rsidRPr="003E540C">
        <w:rPr>
          <w:rFonts w:cs="Times New Roman"/>
          <w:szCs w:val="24"/>
          <w:lang w:val="en-US"/>
        </w:rPr>
        <w:t>Two important facts should be noted. The optimal share of foreign assets is substantial, well above the regulatory</w:t>
      </w:r>
      <w:r w:rsidR="00FE5ED4" w:rsidRPr="003E540C">
        <w:rPr>
          <w:rFonts w:cs="Times New Roman"/>
          <w:szCs w:val="24"/>
          <w:lang w:val="en-US"/>
        </w:rPr>
        <w:t xml:space="preserve"> maximum</w:t>
      </w:r>
      <w:r w:rsidRPr="003E540C">
        <w:rPr>
          <w:rFonts w:cs="Times New Roman"/>
          <w:szCs w:val="24"/>
          <w:lang w:val="en-US"/>
        </w:rPr>
        <w:t xml:space="preserve"> limit of 5%. The other interesting conclusion can be drawn after comparing the </w:t>
      </w:r>
      <w:r w:rsidR="00AC022C" w:rsidRPr="003E540C">
        <w:rPr>
          <w:rFonts w:cs="Times New Roman"/>
          <w:szCs w:val="24"/>
          <w:lang w:val="en-US"/>
        </w:rPr>
        <w:t>portfolios</w:t>
      </w:r>
      <w:r w:rsidRPr="003E540C">
        <w:rPr>
          <w:rFonts w:cs="Times New Roman"/>
          <w:szCs w:val="24"/>
          <w:lang w:val="en-US"/>
        </w:rPr>
        <w:t xml:space="preserve"> </w:t>
      </w:r>
      <w:r w:rsidR="00AC022C" w:rsidRPr="003E540C">
        <w:rPr>
          <w:rFonts w:cs="Times New Roman"/>
          <w:szCs w:val="24"/>
          <w:lang w:val="en-US"/>
        </w:rPr>
        <w:t>presented in Table 6</w:t>
      </w:r>
      <w:r w:rsidRPr="003E540C">
        <w:rPr>
          <w:rFonts w:cs="Times New Roman"/>
          <w:szCs w:val="24"/>
          <w:lang w:val="en-US"/>
        </w:rPr>
        <w:t>.</w:t>
      </w:r>
      <w:r w:rsidR="00AC022C" w:rsidRPr="003E540C">
        <w:rPr>
          <w:rFonts w:cs="Times New Roman"/>
          <w:szCs w:val="24"/>
          <w:lang w:val="en-US"/>
        </w:rPr>
        <w:t xml:space="preserve"> And 7.</w:t>
      </w:r>
      <w:r w:rsidRPr="003E540C">
        <w:rPr>
          <w:rFonts w:cs="Times New Roman"/>
          <w:szCs w:val="24"/>
          <w:lang w:val="en-US"/>
        </w:rPr>
        <w:t xml:space="preserve"> W</w:t>
      </w:r>
      <w:r w:rsidR="00B0342F" w:rsidRPr="003E540C">
        <w:rPr>
          <w:rFonts w:cs="Times New Roman"/>
          <w:szCs w:val="24"/>
          <w:lang w:val="en-US"/>
        </w:rPr>
        <w:t>e</w:t>
      </w:r>
      <w:r w:rsidRPr="003E540C">
        <w:rPr>
          <w:rFonts w:cs="Times New Roman"/>
          <w:szCs w:val="24"/>
          <w:lang w:val="en-US"/>
        </w:rPr>
        <w:t xml:space="preserve"> </w:t>
      </w:r>
      <w:r w:rsidR="00AC022C" w:rsidRPr="003E540C">
        <w:rPr>
          <w:rFonts w:cs="Times New Roman"/>
          <w:szCs w:val="24"/>
          <w:lang w:val="en-US"/>
        </w:rPr>
        <w:t>find the simulation results highly similar</w:t>
      </w:r>
      <w:r w:rsidRPr="003E540C">
        <w:rPr>
          <w:rFonts w:cs="Times New Roman"/>
          <w:szCs w:val="24"/>
          <w:lang w:val="en-US"/>
        </w:rPr>
        <w:t xml:space="preserve">. The additional gain of using short sale was </w:t>
      </w:r>
      <w:r w:rsidR="00DF1760" w:rsidRPr="003E540C">
        <w:rPr>
          <w:rFonts w:cs="Times New Roman"/>
          <w:szCs w:val="24"/>
          <w:lang w:val="en-US"/>
        </w:rPr>
        <w:t xml:space="preserve">noted </w:t>
      </w:r>
      <w:r w:rsidRPr="003E540C">
        <w:rPr>
          <w:rFonts w:cs="Times New Roman"/>
          <w:szCs w:val="24"/>
          <w:lang w:val="en-US"/>
        </w:rPr>
        <w:t>only in case of hedged returns with WRD index.</w:t>
      </w:r>
    </w:p>
    <w:p w:rsidR="00AC022C" w:rsidRPr="003E540C" w:rsidRDefault="00AC022C" w:rsidP="00422D01">
      <w:pPr>
        <w:autoSpaceDE w:val="0"/>
        <w:autoSpaceDN w:val="0"/>
        <w:adjustRightInd w:val="0"/>
        <w:spacing w:line="480" w:lineRule="auto"/>
        <w:ind w:firstLine="708"/>
        <w:rPr>
          <w:rFonts w:cs="Times New Roman"/>
          <w:szCs w:val="24"/>
          <w:lang w:val="en-US"/>
        </w:rPr>
      </w:pPr>
    </w:p>
    <w:p w:rsidR="00A95A88" w:rsidRPr="003E540C" w:rsidRDefault="00AC022C" w:rsidP="00AC022C">
      <w:pPr>
        <w:pStyle w:val="Akapitzlist"/>
        <w:numPr>
          <w:ilvl w:val="0"/>
          <w:numId w:val="1"/>
        </w:numPr>
        <w:autoSpaceDE w:val="0"/>
        <w:autoSpaceDN w:val="0"/>
        <w:adjustRightInd w:val="0"/>
        <w:spacing w:line="480" w:lineRule="auto"/>
        <w:jc w:val="left"/>
        <w:rPr>
          <w:rFonts w:cs="Times New Roman"/>
          <w:b/>
          <w:szCs w:val="24"/>
          <w:lang w:val="en-US"/>
        </w:rPr>
      </w:pPr>
      <w:r w:rsidRPr="003E540C">
        <w:rPr>
          <w:rFonts w:cs="Times New Roman"/>
          <w:b/>
          <w:szCs w:val="24"/>
          <w:lang w:val="en-US"/>
        </w:rPr>
        <w:t>Final conclusions</w:t>
      </w:r>
    </w:p>
    <w:p w:rsidR="00AC022C" w:rsidRDefault="00AC022C" w:rsidP="00DF1760">
      <w:pPr>
        <w:autoSpaceDE w:val="0"/>
        <w:autoSpaceDN w:val="0"/>
        <w:adjustRightInd w:val="0"/>
        <w:spacing w:line="480" w:lineRule="auto"/>
        <w:ind w:firstLine="708"/>
        <w:jc w:val="left"/>
        <w:rPr>
          <w:rFonts w:cs="Times New Roman"/>
          <w:szCs w:val="24"/>
          <w:lang w:val="en-US"/>
        </w:rPr>
      </w:pPr>
      <w:r w:rsidRPr="003E540C">
        <w:rPr>
          <w:rFonts w:cs="Times New Roman"/>
          <w:szCs w:val="24"/>
          <w:lang w:val="en-US"/>
        </w:rPr>
        <w:t>The data regarding</w:t>
      </w:r>
      <w:r w:rsidR="00DF1760">
        <w:rPr>
          <w:rFonts w:cs="Times New Roman"/>
          <w:szCs w:val="24"/>
          <w:lang w:val="en-US"/>
        </w:rPr>
        <w:t xml:space="preserve"> actual</w:t>
      </w:r>
      <w:r w:rsidRPr="003E540C">
        <w:rPr>
          <w:rFonts w:cs="Times New Roman"/>
          <w:szCs w:val="24"/>
          <w:lang w:val="en-US"/>
        </w:rPr>
        <w:t xml:space="preserve"> foreign equity investment made by </w:t>
      </w:r>
      <w:r w:rsidR="004F7BAE">
        <w:rPr>
          <w:rFonts w:cs="Times New Roman"/>
          <w:szCs w:val="24"/>
          <w:lang w:val="en-US"/>
        </w:rPr>
        <w:t xml:space="preserve">the </w:t>
      </w:r>
      <w:r w:rsidRPr="003E540C">
        <w:rPr>
          <w:rFonts w:cs="Times New Roman"/>
          <w:szCs w:val="24"/>
          <w:lang w:val="en-US"/>
        </w:rPr>
        <w:t>OPF presents as follows:</w:t>
      </w:r>
    </w:p>
    <w:p w:rsidR="004F7BAE" w:rsidRDefault="004F7BAE" w:rsidP="004F7BAE">
      <w:pPr>
        <w:jc w:val="center"/>
        <w:rPr>
          <w:rFonts w:cs="Times New Roman"/>
          <w:szCs w:val="24"/>
          <w:lang w:val="en-GB"/>
        </w:rPr>
      </w:pPr>
      <w:r w:rsidRPr="004F7BAE">
        <w:rPr>
          <w:rFonts w:cs="Times New Roman"/>
          <w:szCs w:val="24"/>
          <w:lang w:val="en-GB"/>
        </w:rPr>
        <w:t xml:space="preserve">[Insert Table </w:t>
      </w:r>
      <w:r>
        <w:rPr>
          <w:rFonts w:cs="Times New Roman"/>
          <w:szCs w:val="24"/>
          <w:lang w:val="en-GB"/>
        </w:rPr>
        <w:t>8</w:t>
      </w:r>
      <w:r w:rsidRPr="004F7BAE">
        <w:rPr>
          <w:rFonts w:cs="Times New Roman"/>
          <w:szCs w:val="24"/>
          <w:lang w:val="en-GB"/>
        </w:rPr>
        <w:t>. here]</w:t>
      </w:r>
    </w:p>
    <w:p w:rsidR="004F7BAE" w:rsidRDefault="004F7BAE" w:rsidP="004F7BAE">
      <w:pPr>
        <w:jc w:val="center"/>
        <w:rPr>
          <w:rFonts w:cs="Times New Roman"/>
          <w:szCs w:val="24"/>
          <w:lang w:val="en-GB"/>
        </w:rPr>
      </w:pPr>
    </w:p>
    <w:p w:rsidR="004F7BAE" w:rsidRPr="004F7BAE" w:rsidRDefault="004F7BAE" w:rsidP="004F7BAE">
      <w:pPr>
        <w:jc w:val="center"/>
        <w:rPr>
          <w:rFonts w:cs="Times New Roman"/>
          <w:szCs w:val="24"/>
          <w:lang w:val="en-GB"/>
        </w:rPr>
      </w:pPr>
      <w:r w:rsidRPr="004F7BAE">
        <w:rPr>
          <w:rFonts w:cs="Times New Roman"/>
          <w:szCs w:val="24"/>
          <w:lang w:val="en-GB"/>
        </w:rPr>
        <w:t xml:space="preserve">[Insert Table </w:t>
      </w:r>
      <w:r>
        <w:rPr>
          <w:rFonts w:cs="Times New Roman"/>
          <w:szCs w:val="24"/>
          <w:lang w:val="en-GB"/>
        </w:rPr>
        <w:t>9</w:t>
      </w:r>
      <w:r w:rsidRPr="004F7BAE">
        <w:rPr>
          <w:rFonts w:cs="Times New Roman"/>
          <w:szCs w:val="24"/>
          <w:lang w:val="en-GB"/>
        </w:rPr>
        <w:t>. here]</w:t>
      </w:r>
    </w:p>
    <w:p w:rsidR="00AC022C" w:rsidRPr="003E540C" w:rsidRDefault="00AC022C" w:rsidP="00AC022C">
      <w:pPr>
        <w:autoSpaceDE w:val="0"/>
        <w:autoSpaceDN w:val="0"/>
        <w:adjustRightInd w:val="0"/>
        <w:spacing w:line="480" w:lineRule="auto"/>
        <w:jc w:val="left"/>
        <w:rPr>
          <w:rFonts w:cs="Times New Roman"/>
          <w:szCs w:val="24"/>
          <w:lang w:val="en-US"/>
        </w:rPr>
      </w:pPr>
    </w:p>
    <w:p w:rsidR="00AC022C" w:rsidRPr="003E540C" w:rsidRDefault="00AC022C" w:rsidP="00247B11">
      <w:pPr>
        <w:autoSpaceDE w:val="0"/>
        <w:autoSpaceDN w:val="0"/>
        <w:adjustRightInd w:val="0"/>
        <w:spacing w:line="480" w:lineRule="auto"/>
        <w:ind w:firstLine="708"/>
        <w:rPr>
          <w:rFonts w:cs="Times New Roman"/>
          <w:szCs w:val="24"/>
          <w:lang w:val="en-US"/>
        </w:rPr>
      </w:pPr>
      <w:r w:rsidRPr="003E540C">
        <w:rPr>
          <w:rFonts w:cs="Times New Roman"/>
          <w:szCs w:val="24"/>
          <w:lang w:val="en-US"/>
        </w:rPr>
        <w:lastRenderedPageBreak/>
        <w:t>Undoubtedly, the results of o</w:t>
      </w:r>
      <w:r w:rsidR="005E26E6">
        <w:rPr>
          <w:rFonts w:cs="Times New Roman"/>
          <w:szCs w:val="24"/>
          <w:lang w:val="en-US"/>
        </w:rPr>
        <w:t>u</w:t>
      </w:r>
      <w:r w:rsidRPr="003E540C">
        <w:rPr>
          <w:rFonts w:cs="Times New Roman"/>
          <w:szCs w:val="24"/>
          <w:lang w:val="en-US"/>
        </w:rPr>
        <w:t>r study indicate that the observed weight of foreign assets is insufficient to fully exploit risk-reduc</w:t>
      </w:r>
      <w:r w:rsidR="00A80C78" w:rsidRPr="003E540C">
        <w:rPr>
          <w:rFonts w:cs="Times New Roman"/>
          <w:szCs w:val="24"/>
          <w:lang w:val="en-US"/>
        </w:rPr>
        <w:t>tion opportunities resulting fro</w:t>
      </w:r>
      <w:r w:rsidRPr="003E540C">
        <w:rPr>
          <w:rFonts w:cs="Times New Roman"/>
          <w:szCs w:val="24"/>
          <w:lang w:val="en-US"/>
        </w:rPr>
        <w:t xml:space="preserve">m international investing. Moreover, we found the currently maximum limit still well above the </w:t>
      </w:r>
      <w:r w:rsidR="00A80C78" w:rsidRPr="003E540C">
        <w:rPr>
          <w:rFonts w:cs="Times New Roman"/>
          <w:szCs w:val="24"/>
          <w:lang w:val="en-US"/>
        </w:rPr>
        <w:t>actual</w:t>
      </w:r>
      <w:r w:rsidR="00DF1760">
        <w:rPr>
          <w:rFonts w:cs="Times New Roman"/>
          <w:szCs w:val="24"/>
          <w:lang w:val="en-US"/>
        </w:rPr>
        <w:t xml:space="preserve"> OPF</w:t>
      </w:r>
      <w:r w:rsidR="00A80C78" w:rsidRPr="003E540C">
        <w:rPr>
          <w:rFonts w:cs="Times New Roman"/>
          <w:szCs w:val="24"/>
          <w:lang w:val="en-US"/>
        </w:rPr>
        <w:t xml:space="preserve"> engagement in foreign assets. Summing up, the home-bias is present.</w:t>
      </w:r>
    </w:p>
    <w:p w:rsidR="00134A6F" w:rsidRDefault="00A80C78" w:rsidP="00A4059D">
      <w:pPr>
        <w:spacing w:line="480" w:lineRule="auto"/>
        <w:ind w:firstLine="708"/>
        <w:rPr>
          <w:rFonts w:cs="Times New Roman"/>
          <w:szCs w:val="24"/>
          <w:lang w:val="en-GB"/>
        </w:rPr>
      </w:pPr>
      <w:r w:rsidRPr="003E540C">
        <w:rPr>
          <w:rFonts w:cs="Times New Roman"/>
          <w:szCs w:val="24"/>
          <w:lang w:val="en-US"/>
        </w:rPr>
        <w:t>The motives of the domestic assets preference over t</w:t>
      </w:r>
      <w:r w:rsidR="00DF1760">
        <w:rPr>
          <w:rFonts w:cs="Times New Roman"/>
          <w:szCs w:val="24"/>
          <w:lang w:val="en-US"/>
        </w:rPr>
        <w:t>he</w:t>
      </w:r>
      <w:r w:rsidRPr="003E540C">
        <w:rPr>
          <w:rFonts w:cs="Times New Roman"/>
          <w:szCs w:val="24"/>
          <w:lang w:val="en-US"/>
        </w:rPr>
        <w:t xml:space="preserve"> foreign ones have been broadly described in the literature, but the variety of likely explanations has not led to the commonly accepted view.</w:t>
      </w:r>
      <w:r w:rsidR="00247B11" w:rsidRPr="003E540C">
        <w:rPr>
          <w:rFonts w:cs="Times New Roman"/>
          <w:szCs w:val="24"/>
          <w:lang w:val="en-US"/>
        </w:rPr>
        <w:t xml:space="preserve"> </w:t>
      </w:r>
      <w:proofErr w:type="spellStart"/>
      <w:r w:rsidR="00247B11" w:rsidRPr="003E540C">
        <w:rPr>
          <w:rFonts w:cs="Times New Roman"/>
          <w:color w:val="000000" w:themeColor="text1"/>
          <w:szCs w:val="24"/>
          <w:lang w:val="en-GB"/>
        </w:rPr>
        <w:t>Sercu</w:t>
      </w:r>
      <w:proofErr w:type="spellEnd"/>
      <w:r w:rsidR="00247B11" w:rsidRPr="003E540C">
        <w:rPr>
          <w:rFonts w:cs="Times New Roman"/>
          <w:color w:val="000000" w:themeColor="text1"/>
          <w:szCs w:val="24"/>
          <w:lang w:val="en-GB"/>
        </w:rPr>
        <w:t xml:space="preserve"> and </w:t>
      </w:r>
      <w:proofErr w:type="spellStart"/>
      <w:r w:rsidR="00247B11" w:rsidRPr="003E540C">
        <w:rPr>
          <w:rFonts w:cs="Times New Roman"/>
          <w:color w:val="000000" w:themeColor="text1"/>
          <w:szCs w:val="24"/>
          <w:lang w:val="en-GB"/>
        </w:rPr>
        <w:t>Vanpee</w:t>
      </w:r>
      <w:proofErr w:type="spellEnd"/>
      <w:r w:rsidR="00247B11" w:rsidRPr="003E540C">
        <w:rPr>
          <w:rFonts w:cs="Times New Roman"/>
          <w:color w:val="000000" w:themeColor="text1"/>
          <w:szCs w:val="24"/>
          <w:lang w:val="en-GB"/>
        </w:rPr>
        <w:t xml:space="preserve"> (2007</w:t>
      </w:r>
      <w:r w:rsidR="00247B11" w:rsidRPr="003E540C">
        <w:rPr>
          <w:rFonts w:cs="Times New Roman"/>
          <w:szCs w:val="24"/>
          <w:lang w:val="en-GB"/>
        </w:rPr>
        <w:t>) distinguish the potential explanations into five large groups, where the main attention is focused on: hedging domestic risk, implicit and explicit costs of foreign investments, information asymmetries, corporate governance and transparency, and behavio</w:t>
      </w:r>
      <w:r w:rsidR="006D477F">
        <w:rPr>
          <w:rFonts w:cs="Times New Roman"/>
          <w:szCs w:val="24"/>
          <w:lang w:val="en-GB"/>
        </w:rPr>
        <w:t>u</w:t>
      </w:r>
      <w:r w:rsidR="00247B11" w:rsidRPr="003E540C">
        <w:rPr>
          <w:rFonts w:cs="Times New Roman"/>
          <w:szCs w:val="24"/>
          <w:lang w:val="en-GB"/>
        </w:rPr>
        <w:t xml:space="preserve">ral biases. </w:t>
      </w:r>
      <w:r w:rsidR="005B4047" w:rsidRPr="003E540C">
        <w:rPr>
          <w:rFonts w:cs="Times New Roman"/>
          <w:szCs w:val="24"/>
          <w:lang w:val="en-GB"/>
        </w:rPr>
        <w:t>In this paper we also would like to add the sixth group, i.e. the regulatory solutions. Frequently, the fund managers indicate the legal ban on using FX derivatives as the main obstacle for international assets allocation (</w:t>
      </w:r>
      <w:proofErr w:type="spellStart"/>
      <w:r w:rsidR="005B4047" w:rsidRPr="003E540C">
        <w:rPr>
          <w:rFonts w:cs="Times New Roman"/>
          <w:szCs w:val="24"/>
          <w:lang w:val="en-GB"/>
        </w:rPr>
        <w:t>Popiołek</w:t>
      </w:r>
      <w:proofErr w:type="spellEnd"/>
      <w:r w:rsidR="005B4047" w:rsidRPr="003E540C">
        <w:rPr>
          <w:rFonts w:cs="Times New Roman"/>
          <w:szCs w:val="24"/>
          <w:lang w:val="en-GB"/>
        </w:rPr>
        <w:t xml:space="preserve">, 2011). </w:t>
      </w:r>
      <w:r w:rsidR="00DF1760">
        <w:rPr>
          <w:rFonts w:cs="Times New Roman"/>
          <w:szCs w:val="24"/>
          <w:lang w:val="en-GB"/>
        </w:rPr>
        <w:t xml:space="preserve">For example, in </w:t>
      </w:r>
      <w:r w:rsidR="005B4047" w:rsidRPr="003E540C">
        <w:rPr>
          <w:rFonts w:cs="Times New Roman"/>
          <w:szCs w:val="24"/>
          <w:lang w:val="en-GB"/>
        </w:rPr>
        <w:t xml:space="preserve">case of rising foreign asset prices the possible PLN appreciation may reduce the </w:t>
      </w:r>
      <w:r w:rsidR="004F78AB" w:rsidRPr="003E540C">
        <w:rPr>
          <w:rFonts w:cs="Times New Roman"/>
          <w:szCs w:val="24"/>
          <w:lang w:val="en-GB"/>
        </w:rPr>
        <w:t xml:space="preserve">overall return. </w:t>
      </w:r>
      <w:r w:rsidR="00DF1760">
        <w:rPr>
          <w:rFonts w:cs="Times New Roman"/>
          <w:szCs w:val="24"/>
          <w:lang w:val="en-GB"/>
        </w:rPr>
        <w:t>Though, t</w:t>
      </w:r>
      <w:r w:rsidR="004F78AB" w:rsidRPr="003E540C">
        <w:rPr>
          <w:rFonts w:cs="Times New Roman"/>
          <w:szCs w:val="24"/>
          <w:lang w:val="en-GB"/>
        </w:rPr>
        <w:t xml:space="preserve">his statement ignore the downside risk when the foreign assets prices drop and </w:t>
      </w:r>
      <w:r w:rsidR="00F41783" w:rsidRPr="003E540C">
        <w:rPr>
          <w:rFonts w:cs="Times New Roman"/>
          <w:szCs w:val="24"/>
          <w:lang w:val="en-GB"/>
        </w:rPr>
        <w:t xml:space="preserve">simultaneously the domestic money depreciates. As our study reveals, taking the </w:t>
      </w:r>
      <w:r w:rsidR="00501A3A" w:rsidRPr="003E540C">
        <w:rPr>
          <w:rFonts w:cs="Times New Roman"/>
          <w:szCs w:val="24"/>
          <w:lang w:val="en-GB"/>
        </w:rPr>
        <w:t>perspective</w:t>
      </w:r>
      <w:r w:rsidR="00F41783" w:rsidRPr="003E540C">
        <w:rPr>
          <w:rFonts w:cs="Times New Roman"/>
          <w:szCs w:val="24"/>
          <w:lang w:val="en-GB"/>
        </w:rPr>
        <w:t xml:space="preserve"> of Polish investor</w:t>
      </w:r>
      <w:r w:rsidR="00501A3A">
        <w:rPr>
          <w:rFonts w:cs="Times New Roman"/>
          <w:szCs w:val="24"/>
          <w:lang w:val="en-GB"/>
        </w:rPr>
        <w:t>,</w:t>
      </w:r>
      <w:r w:rsidR="00F41783" w:rsidRPr="003E540C">
        <w:rPr>
          <w:rFonts w:cs="Times New Roman"/>
          <w:szCs w:val="24"/>
          <w:lang w:val="en-GB"/>
        </w:rPr>
        <w:t xml:space="preserve"> currency hedging </w:t>
      </w:r>
      <w:r w:rsidR="00501A3A">
        <w:rPr>
          <w:rFonts w:cs="Times New Roman"/>
          <w:szCs w:val="24"/>
          <w:lang w:val="en-GB"/>
        </w:rPr>
        <w:t xml:space="preserve">using the forward contracts </w:t>
      </w:r>
      <w:r w:rsidR="00F41783" w:rsidRPr="003E540C">
        <w:rPr>
          <w:rFonts w:cs="Times New Roman"/>
          <w:szCs w:val="24"/>
          <w:lang w:val="en-GB"/>
        </w:rPr>
        <w:t>increase the correlation between asset prices.</w:t>
      </w:r>
      <w:r w:rsidR="00A4059D">
        <w:rPr>
          <w:rFonts w:cs="Times New Roman"/>
          <w:szCs w:val="24"/>
          <w:lang w:val="en-GB"/>
        </w:rPr>
        <w:t xml:space="preserve"> Howeve</w:t>
      </w:r>
      <w:r w:rsidR="00CB7CBF">
        <w:rPr>
          <w:rFonts w:cs="Times New Roman"/>
          <w:szCs w:val="24"/>
          <w:lang w:val="en-GB"/>
        </w:rPr>
        <w:t>r, at the same time the</w:t>
      </w:r>
      <w:r w:rsidR="00A4059D">
        <w:rPr>
          <w:rFonts w:cs="Times New Roman"/>
          <w:szCs w:val="24"/>
          <w:lang w:val="en-GB"/>
        </w:rPr>
        <w:t xml:space="preserve"> hedging</w:t>
      </w:r>
      <w:r w:rsidR="00CB7CBF">
        <w:rPr>
          <w:rFonts w:cs="Times New Roman"/>
          <w:szCs w:val="24"/>
          <w:lang w:val="en-GB"/>
        </w:rPr>
        <w:t xml:space="preserve"> activity</w:t>
      </w:r>
      <w:r w:rsidR="00A4059D">
        <w:rPr>
          <w:rFonts w:cs="Times New Roman"/>
          <w:szCs w:val="24"/>
          <w:lang w:val="en-GB"/>
        </w:rPr>
        <w:t xml:space="preserve"> reduces the overall portf</w:t>
      </w:r>
      <w:r w:rsidR="00CB7CBF">
        <w:rPr>
          <w:rFonts w:cs="Times New Roman"/>
          <w:szCs w:val="24"/>
          <w:lang w:val="en-GB"/>
        </w:rPr>
        <w:t>olio risk (see Table 6. And 7.)</w:t>
      </w:r>
      <w:r w:rsidR="00A4059D">
        <w:rPr>
          <w:rFonts w:cs="Times New Roman"/>
          <w:szCs w:val="24"/>
          <w:lang w:val="en-GB"/>
        </w:rPr>
        <w:t xml:space="preserve"> as the volatility of hedged foreign equity returns is substantially lower (see Table 2.).</w:t>
      </w:r>
      <w:r w:rsidR="00F41783" w:rsidRPr="003E540C">
        <w:rPr>
          <w:rFonts w:cs="Times New Roman"/>
          <w:szCs w:val="24"/>
          <w:lang w:val="en-GB"/>
        </w:rPr>
        <w:t xml:space="preserve"> </w:t>
      </w:r>
      <w:r w:rsidR="00501A3A">
        <w:rPr>
          <w:rFonts w:cs="Times New Roman"/>
          <w:szCs w:val="24"/>
          <w:lang w:val="en-GB"/>
        </w:rPr>
        <w:t>Fun</w:t>
      </w:r>
      <w:r w:rsidR="00F60ECC">
        <w:rPr>
          <w:rFonts w:cs="Times New Roman"/>
          <w:szCs w:val="24"/>
          <w:lang w:val="en-GB"/>
        </w:rPr>
        <w:t>d managers may also consider</w:t>
      </w:r>
      <w:r w:rsidR="00501A3A">
        <w:rPr>
          <w:rFonts w:cs="Times New Roman"/>
          <w:szCs w:val="24"/>
          <w:lang w:val="en-GB"/>
        </w:rPr>
        <w:t xml:space="preserve"> taking the long position in</w:t>
      </w:r>
      <w:r w:rsidR="00F60ECC">
        <w:rPr>
          <w:rFonts w:cs="Times New Roman"/>
          <w:szCs w:val="24"/>
          <w:lang w:val="en-GB"/>
        </w:rPr>
        <w:t xml:space="preserve"> the</w:t>
      </w:r>
      <w:r w:rsidR="00501A3A">
        <w:rPr>
          <w:rFonts w:cs="Times New Roman"/>
          <w:szCs w:val="24"/>
          <w:lang w:val="en-GB"/>
        </w:rPr>
        <w:t xml:space="preserve"> currency options, but the option premiums paid may be quite high. </w:t>
      </w:r>
    </w:p>
    <w:p w:rsidR="00134A6F" w:rsidRDefault="00F41783" w:rsidP="00247B11">
      <w:pPr>
        <w:spacing w:line="480" w:lineRule="auto"/>
        <w:ind w:firstLine="708"/>
        <w:rPr>
          <w:rFonts w:cs="Times New Roman"/>
          <w:szCs w:val="24"/>
          <w:lang w:val="en-GB"/>
        </w:rPr>
      </w:pPr>
      <w:r w:rsidRPr="003E540C">
        <w:rPr>
          <w:rFonts w:cs="Times New Roman"/>
          <w:szCs w:val="24"/>
          <w:lang w:val="en-GB"/>
        </w:rPr>
        <w:t xml:space="preserve">The other important regulation </w:t>
      </w:r>
      <w:r w:rsidR="00501A3A">
        <w:rPr>
          <w:rFonts w:cs="Times New Roman"/>
          <w:szCs w:val="24"/>
          <w:lang w:val="en-GB"/>
        </w:rPr>
        <w:t xml:space="preserve">reducing </w:t>
      </w:r>
      <w:r w:rsidRPr="003E540C">
        <w:rPr>
          <w:rFonts w:cs="Times New Roman"/>
          <w:szCs w:val="24"/>
          <w:lang w:val="en-GB"/>
        </w:rPr>
        <w:t xml:space="preserve">the international engagement may be the mechanism of calculating the OPF minimum required rate of return. In general, </w:t>
      </w:r>
      <w:r w:rsidR="004B07A1" w:rsidRPr="003E540C">
        <w:rPr>
          <w:rFonts w:cs="Times New Roman"/>
          <w:szCs w:val="24"/>
          <w:lang w:val="en-GB"/>
        </w:rPr>
        <w:lastRenderedPageBreak/>
        <w:t>w</w:t>
      </w:r>
      <w:r w:rsidRPr="003E540C">
        <w:rPr>
          <w:rFonts w:cs="Times New Roman"/>
          <w:szCs w:val="24"/>
          <w:lang w:val="en-GB"/>
        </w:rPr>
        <w:t xml:space="preserve">henever the realized return </w:t>
      </w:r>
      <w:r w:rsidR="004B07A1" w:rsidRPr="003E540C">
        <w:rPr>
          <w:rFonts w:cs="Times New Roman"/>
          <w:szCs w:val="24"/>
          <w:lang w:val="en-GB"/>
        </w:rPr>
        <w:t xml:space="preserve">of </w:t>
      </w:r>
      <w:r w:rsidR="00501A3A">
        <w:rPr>
          <w:rFonts w:cs="Times New Roman"/>
          <w:szCs w:val="24"/>
          <w:lang w:val="en-GB"/>
        </w:rPr>
        <w:t xml:space="preserve">a </w:t>
      </w:r>
      <w:r w:rsidR="004B07A1" w:rsidRPr="003E540C">
        <w:rPr>
          <w:rFonts w:cs="Times New Roman"/>
          <w:szCs w:val="24"/>
          <w:lang w:val="en-GB"/>
        </w:rPr>
        <w:t xml:space="preserve">particular </w:t>
      </w:r>
      <w:r w:rsidR="00501A3A">
        <w:rPr>
          <w:rFonts w:cs="Times New Roman"/>
          <w:szCs w:val="24"/>
          <w:lang w:val="en-GB"/>
        </w:rPr>
        <w:t>pension fund</w:t>
      </w:r>
      <w:r w:rsidR="004B07A1" w:rsidRPr="003E540C">
        <w:rPr>
          <w:rFonts w:cs="Times New Roman"/>
          <w:szCs w:val="24"/>
          <w:lang w:val="en-GB"/>
        </w:rPr>
        <w:t xml:space="preserve"> </w:t>
      </w:r>
      <w:r w:rsidRPr="003E540C">
        <w:rPr>
          <w:rFonts w:cs="Times New Roman"/>
          <w:szCs w:val="24"/>
          <w:lang w:val="en-GB"/>
        </w:rPr>
        <w:t>is significantly</w:t>
      </w:r>
      <w:r w:rsidR="004B07A1" w:rsidRPr="003E540C">
        <w:rPr>
          <w:rFonts w:cs="Times New Roman"/>
          <w:szCs w:val="24"/>
          <w:lang w:val="en-GB"/>
        </w:rPr>
        <w:t xml:space="preserve"> lower than the average calculated from the returns realized by </w:t>
      </w:r>
      <w:r w:rsidR="00501A3A">
        <w:rPr>
          <w:rFonts w:cs="Times New Roman"/>
          <w:szCs w:val="24"/>
          <w:lang w:val="en-GB"/>
        </w:rPr>
        <w:t>the all OPF</w:t>
      </w:r>
      <w:r w:rsidR="004B07A1" w:rsidRPr="003E540C">
        <w:rPr>
          <w:rFonts w:cs="Times New Roman"/>
          <w:szCs w:val="24"/>
          <w:lang w:val="en-GB"/>
        </w:rPr>
        <w:t xml:space="preserve">, the </w:t>
      </w:r>
      <w:r w:rsidR="005E26E6">
        <w:rPr>
          <w:rFonts w:cs="Times New Roman"/>
          <w:szCs w:val="24"/>
          <w:lang w:val="en-GB"/>
        </w:rPr>
        <w:t xml:space="preserve">underperforming </w:t>
      </w:r>
      <w:r w:rsidR="004B07A1" w:rsidRPr="003E540C">
        <w:rPr>
          <w:rFonts w:cs="Times New Roman"/>
          <w:szCs w:val="24"/>
          <w:lang w:val="en-GB"/>
        </w:rPr>
        <w:t xml:space="preserve">fund needs to cover the shortage in return from its capital. This situation naturally leads to mimicking the portfolios of pension funds having the </w:t>
      </w:r>
      <w:r w:rsidR="00134A6F" w:rsidRPr="003E540C">
        <w:rPr>
          <w:rFonts w:cs="Times New Roman"/>
          <w:szCs w:val="24"/>
          <w:lang w:val="en-GB"/>
        </w:rPr>
        <w:t>greatest</w:t>
      </w:r>
      <w:r w:rsidR="004B07A1" w:rsidRPr="003E540C">
        <w:rPr>
          <w:rFonts w:cs="Times New Roman"/>
          <w:szCs w:val="24"/>
          <w:lang w:val="en-GB"/>
        </w:rPr>
        <w:t xml:space="preserve"> weight in the described average value by the rest of the </w:t>
      </w:r>
      <w:r w:rsidR="005E26E6">
        <w:rPr>
          <w:rFonts w:cs="Times New Roman"/>
          <w:szCs w:val="24"/>
          <w:lang w:val="en-GB"/>
        </w:rPr>
        <w:t>competitors. If the largest OPF</w:t>
      </w:r>
      <w:r w:rsidR="004B07A1" w:rsidRPr="003E540C">
        <w:rPr>
          <w:rFonts w:cs="Times New Roman"/>
          <w:szCs w:val="24"/>
          <w:lang w:val="en-GB"/>
        </w:rPr>
        <w:t xml:space="preserve"> for any reason do not engage in international assets, the other </w:t>
      </w:r>
      <w:r w:rsidR="00501A3A">
        <w:rPr>
          <w:rFonts w:cs="Times New Roman"/>
          <w:szCs w:val="24"/>
          <w:lang w:val="en-GB"/>
        </w:rPr>
        <w:t xml:space="preserve">smaller </w:t>
      </w:r>
      <w:r w:rsidR="004B07A1" w:rsidRPr="003E540C">
        <w:rPr>
          <w:rFonts w:cs="Times New Roman"/>
          <w:szCs w:val="24"/>
          <w:lang w:val="en-GB"/>
        </w:rPr>
        <w:t>fund</w:t>
      </w:r>
      <w:r w:rsidR="00501A3A">
        <w:rPr>
          <w:rFonts w:cs="Times New Roman"/>
          <w:szCs w:val="24"/>
          <w:lang w:val="en-GB"/>
        </w:rPr>
        <w:t>s</w:t>
      </w:r>
      <w:r w:rsidR="004B07A1" w:rsidRPr="003E540C">
        <w:rPr>
          <w:rFonts w:cs="Times New Roman"/>
          <w:szCs w:val="24"/>
          <w:lang w:val="en-GB"/>
        </w:rPr>
        <w:t xml:space="preserve"> will follow this policy being afraid of regulatory punishment in case</w:t>
      </w:r>
      <w:r w:rsidR="00501A3A">
        <w:rPr>
          <w:rFonts w:cs="Times New Roman"/>
          <w:szCs w:val="24"/>
          <w:lang w:val="en-GB"/>
        </w:rPr>
        <w:t xml:space="preserve"> of the</w:t>
      </w:r>
      <w:r w:rsidR="004B07A1" w:rsidRPr="003E540C">
        <w:rPr>
          <w:rFonts w:cs="Times New Roman"/>
          <w:szCs w:val="24"/>
          <w:lang w:val="en-GB"/>
        </w:rPr>
        <w:t xml:space="preserve"> </w:t>
      </w:r>
      <w:r w:rsidR="00A510A4" w:rsidRPr="003E540C">
        <w:rPr>
          <w:rFonts w:cs="Times New Roman"/>
          <w:szCs w:val="24"/>
          <w:lang w:val="en-GB"/>
        </w:rPr>
        <w:t xml:space="preserve">negative outlier results. This herding behaviour among Polish OPF was confirmed by </w:t>
      </w:r>
      <w:proofErr w:type="spellStart"/>
      <w:r w:rsidR="00A510A4" w:rsidRPr="003E540C">
        <w:rPr>
          <w:rFonts w:cs="Times New Roman"/>
          <w:szCs w:val="24"/>
          <w:lang w:val="en-GB"/>
        </w:rPr>
        <w:t>Chybalski</w:t>
      </w:r>
      <w:proofErr w:type="spellEnd"/>
      <w:r w:rsidR="00913215">
        <w:rPr>
          <w:rFonts w:cs="Times New Roman"/>
          <w:szCs w:val="24"/>
          <w:lang w:val="en-GB"/>
        </w:rPr>
        <w:t xml:space="preserve"> </w:t>
      </w:r>
      <w:r w:rsidR="00A510A4" w:rsidRPr="003E540C">
        <w:rPr>
          <w:rFonts w:cs="Times New Roman"/>
          <w:szCs w:val="24"/>
          <w:lang w:val="en-GB"/>
        </w:rPr>
        <w:t>(</w:t>
      </w:r>
      <w:r w:rsidR="007C5383">
        <w:rPr>
          <w:rFonts w:cs="Times New Roman"/>
          <w:szCs w:val="24"/>
          <w:lang w:val="en-GB"/>
        </w:rPr>
        <w:t>2009</w:t>
      </w:r>
      <w:r w:rsidR="00A510A4" w:rsidRPr="003E540C">
        <w:rPr>
          <w:rFonts w:cs="Times New Roman"/>
          <w:szCs w:val="24"/>
          <w:lang w:val="en-GB"/>
        </w:rPr>
        <w:t xml:space="preserve">). </w:t>
      </w:r>
    </w:p>
    <w:p w:rsidR="00247B11" w:rsidRDefault="00A510A4" w:rsidP="00247B11">
      <w:pPr>
        <w:spacing w:line="480" w:lineRule="auto"/>
        <w:ind w:firstLine="708"/>
        <w:rPr>
          <w:rFonts w:cs="Times New Roman"/>
          <w:szCs w:val="24"/>
          <w:lang w:val="en-GB"/>
        </w:rPr>
      </w:pPr>
      <w:r w:rsidRPr="003E540C">
        <w:rPr>
          <w:rFonts w:cs="Times New Roman"/>
          <w:szCs w:val="24"/>
          <w:lang w:val="en-GB"/>
        </w:rPr>
        <w:t xml:space="preserve">The situation could be different if the benchmark portfolio was based on </w:t>
      </w:r>
      <w:r w:rsidR="007C3F3C" w:rsidRPr="003E540C">
        <w:rPr>
          <w:rFonts w:cs="Times New Roman"/>
          <w:szCs w:val="24"/>
          <w:lang w:val="en-GB"/>
        </w:rPr>
        <w:t>the performance of the domestic and international markets rather than performance of OPF itself. Th</w:t>
      </w:r>
      <w:r w:rsidR="00547597" w:rsidRPr="003E540C">
        <w:rPr>
          <w:rFonts w:cs="Times New Roman"/>
          <w:szCs w:val="24"/>
          <w:lang w:val="en-GB"/>
        </w:rPr>
        <w:t>is</w:t>
      </w:r>
      <w:r w:rsidR="007C3F3C" w:rsidRPr="003E540C">
        <w:rPr>
          <w:rFonts w:cs="Times New Roman"/>
          <w:szCs w:val="24"/>
          <w:lang w:val="en-GB"/>
        </w:rPr>
        <w:t xml:space="preserve"> seems to be the necessary condition</w:t>
      </w:r>
      <w:r w:rsidR="00547597" w:rsidRPr="003E540C">
        <w:rPr>
          <w:rFonts w:cs="Times New Roman"/>
          <w:szCs w:val="24"/>
          <w:lang w:val="en-GB"/>
        </w:rPr>
        <w:t>, but</w:t>
      </w:r>
      <w:r w:rsidR="007C3F3C" w:rsidRPr="003E540C">
        <w:rPr>
          <w:rFonts w:cs="Times New Roman"/>
          <w:szCs w:val="24"/>
          <w:lang w:val="en-GB"/>
        </w:rPr>
        <w:t xml:space="preserve"> </w:t>
      </w:r>
      <w:r w:rsidR="00501A3A">
        <w:rPr>
          <w:rFonts w:cs="Times New Roman"/>
          <w:szCs w:val="24"/>
          <w:lang w:val="en-GB"/>
        </w:rPr>
        <w:t xml:space="preserve">not </w:t>
      </w:r>
      <w:r w:rsidR="00547597" w:rsidRPr="003E540C">
        <w:rPr>
          <w:rFonts w:cs="Times New Roman"/>
          <w:szCs w:val="24"/>
          <w:lang w:val="en-GB"/>
        </w:rPr>
        <w:t>t</w:t>
      </w:r>
      <w:r w:rsidR="007C3F3C" w:rsidRPr="003E540C">
        <w:rPr>
          <w:rFonts w:cs="Times New Roman"/>
          <w:szCs w:val="24"/>
          <w:lang w:val="en-GB"/>
        </w:rPr>
        <w:t xml:space="preserve">he </w:t>
      </w:r>
      <w:r w:rsidR="00547597" w:rsidRPr="003E540C">
        <w:rPr>
          <w:rFonts w:cs="Times New Roman"/>
          <w:szCs w:val="24"/>
          <w:lang w:val="en-GB"/>
        </w:rPr>
        <w:t>sufficient</w:t>
      </w:r>
      <w:r w:rsidR="00501A3A">
        <w:rPr>
          <w:rFonts w:cs="Times New Roman"/>
          <w:szCs w:val="24"/>
          <w:lang w:val="en-GB"/>
        </w:rPr>
        <w:t xml:space="preserve"> one. To induce a serious shift towards international investments </w:t>
      </w:r>
      <w:r w:rsidR="007C3F3C" w:rsidRPr="003E540C">
        <w:rPr>
          <w:rFonts w:cs="Times New Roman"/>
          <w:szCs w:val="24"/>
          <w:lang w:val="en-GB"/>
        </w:rPr>
        <w:t xml:space="preserve">the weight of foreign assets in this benchmark </w:t>
      </w:r>
      <w:r w:rsidR="00501A3A">
        <w:rPr>
          <w:rFonts w:cs="Times New Roman"/>
          <w:szCs w:val="24"/>
          <w:lang w:val="en-GB"/>
        </w:rPr>
        <w:t xml:space="preserve">should be set </w:t>
      </w:r>
      <w:r w:rsidR="007C3F3C" w:rsidRPr="003E540C">
        <w:rPr>
          <w:rFonts w:cs="Times New Roman"/>
          <w:szCs w:val="24"/>
          <w:lang w:val="en-GB"/>
        </w:rPr>
        <w:t xml:space="preserve">at </w:t>
      </w:r>
      <w:r w:rsidR="00501A3A">
        <w:rPr>
          <w:rFonts w:cs="Times New Roman"/>
          <w:szCs w:val="24"/>
          <w:lang w:val="en-GB"/>
        </w:rPr>
        <w:t xml:space="preserve">a </w:t>
      </w:r>
      <w:r w:rsidR="007C3F3C" w:rsidRPr="003E540C">
        <w:rPr>
          <w:rFonts w:cs="Times New Roman"/>
          <w:szCs w:val="24"/>
          <w:lang w:val="en-GB"/>
        </w:rPr>
        <w:t>higher level,</w:t>
      </w:r>
      <w:r w:rsidR="00547597" w:rsidRPr="003E540C">
        <w:rPr>
          <w:rFonts w:cs="Times New Roman"/>
          <w:szCs w:val="24"/>
          <w:lang w:val="en-GB"/>
        </w:rPr>
        <w:t xml:space="preserve"> determined by the simulation studies. For pragmatic reasons, we are not likely to expect this </w:t>
      </w:r>
      <w:r w:rsidR="007333F9">
        <w:rPr>
          <w:rFonts w:cs="Times New Roman"/>
          <w:szCs w:val="24"/>
          <w:lang w:val="en-GB"/>
        </w:rPr>
        <w:t>maximum limit</w:t>
      </w:r>
      <w:r w:rsidR="00547597" w:rsidRPr="003E540C">
        <w:rPr>
          <w:rFonts w:cs="Times New Roman"/>
          <w:szCs w:val="24"/>
          <w:lang w:val="en-GB"/>
        </w:rPr>
        <w:t xml:space="preserve"> to be as high as the weights presented in tables</w:t>
      </w:r>
      <w:r w:rsidR="007C5383">
        <w:rPr>
          <w:rFonts w:cs="Times New Roman"/>
          <w:szCs w:val="24"/>
          <w:lang w:val="en-GB"/>
        </w:rPr>
        <w:t xml:space="preserve"> 6. and 7.</w:t>
      </w:r>
      <w:r w:rsidR="00501A3A">
        <w:rPr>
          <w:rFonts w:cs="Times New Roman"/>
          <w:szCs w:val="24"/>
          <w:lang w:val="en-GB"/>
        </w:rPr>
        <w:t>,</w:t>
      </w:r>
      <w:r w:rsidR="00547597" w:rsidRPr="003E540C">
        <w:rPr>
          <w:rFonts w:cs="Times New Roman"/>
          <w:szCs w:val="24"/>
          <w:lang w:val="en-GB"/>
        </w:rPr>
        <w:t xml:space="preserve"> especially if we discuss also the fixed </w:t>
      </w:r>
      <w:r w:rsidR="00BD2D37" w:rsidRPr="003E540C">
        <w:rPr>
          <w:rFonts w:cs="Times New Roman"/>
          <w:szCs w:val="24"/>
          <w:lang w:val="en-GB"/>
        </w:rPr>
        <w:t>income</w:t>
      </w:r>
      <w:r w:rsidR="00501A3A">
        <w:rPr>
          <w:rFonts w:cs="Times New Roman"/>
          <w:szCs w:val="24"/>
          <w:lang w:val="en-GB"/>
        </w:rPr>
        <w:t xml:space="preserve"> part of the OPF portfolios. The increased demand for foreign </w:t>
      </w:r>
      <w:r w:rsidR="00547597" w:rsidRPr="003E540C">
        <w:rPr>
          <w:rFonts w:cs="Times New Roman"/>
          <w:szCs w:val="24"/>
          <w:lang w:val="en-GB"/>
        </w:rPr>
        <w:t xml:space="preserve">assets would lower the demand for domestic treasury bonds </w:t>
      </w:r>
      <w:r w:rsidR="00BD2D37" w:rsidRPr="003E540C">
        <w:rPr>
          <w:rFonts w:cs="Times New Roman"/>
          <w:szCs w:val="24"/>
          <w:lang w:val="en-GB"/>
        </w:rPr>
        <w:t xml:space="preserve">rising </w:t>
      </w:r>
      <w:r w:rsidR="00547597" w:rsidRPr="003E540C">
        <w:rPr>
          <w:rFonts w:cs="Times New Roman"/>
          <w:szCs w:val="24"/>
          <w:lang w:val="en-GB"/>
        </w:rPr>
        <w:t>the cost of budget deficit financing</w:t>
      </w:r>
      <w:r w:rsidR="00BD2D37" w:rsidRPr="003E540C">
        <w:rPr>
          <w:rFonts w:cs="Times New Roman"/>
          <w:szCs w:val="24"/>
          <w:lang w:val="en-GB"/>
        </w:rPr>
        <w:t xml:space="preserve">. Therefore, the planned regulatory </w:t>
      </w:r>
      <w:r w:rsidR="00913215">
        <w:rPr>
          <w:rFonts w:cs="Times New Roman"/>
          <w:szCs w:val="24"/>
          <w:lang w:val="en-GB"/>
        </w:rPr>
        <w:t>changes</w:t>
      </w:r>
      <w:r w:rsidR="00BD2D37" w:rsidRPr="003E540C">
        <w:rPr>
          <w:rFonts w:cs="Times New Roman"/>
          <w:szCs w:val="24"/>
          <w:lang w:val="en-GB"/>
        </w:rPr>
        <w:t xml:space="preserve"> need a </w:t>
      </w:r>
      <w:r w:rsidR="00501A3A">
        <w:rPr>
          <w:rFonts w:cs="Times New Roman"/>
          <w:szCs w:val="24"/>
          <w:lang w:val="en-GB"/>
        </w:rPr>
        <w:t>broader</w:t>
      </w:r>
      <w:r w:rsidR="00BD2D37" w:rsidRPr="003E540C">
        <w:rPr>
          <w:rFonts w:cs="Times New Roman"/>
          <w:szCs w:val="24"/>
          <w:lang w:val="en-GB"/>
        </w:rPr>
        <w:t xml:space="preserve"> consideration </w:t>
      </w:r>
      <w:r w:rsidR="00501A3A">
        <w:rPr>
          <w:rFonts w:cs="Times New Roman"/>
          <w:szCs w:val="24"/>
          <w:lang w:val="en-GB"/>
        </w:rPr>
        <w:t xml:space="preserve"> and an in-</w:t>
      </w:r>
      <w:proofErr w:type="spellStart"/>
      <w:r w:rsidR="00501A3A">
        <w:rPr>
          <w:rFonts w:cs="Times New Roman"/>
          <w:szCs w:val="24"/>
          <w:lang w:val="en-GB"/>
        </w:rPr>
        <w:t>deepth</w:t>
      </w:r>
      <w:proofErr w:type="spellEnd"/>
      <w:r w:rsidR="00501A3A">
        <w:rPr>
          <w:rFonts w:cs="Times New Roman"/>
          <w:szCs w:val="24"/>
          <w:lang w:val="en-GB"/>
        </w:rPr>
        <w:t xml:space="preserve"> research </w:t>
      </w:r>
      <w:r w:rsidR="00BD2D37" w:rsidRPr="003E540C">
        <w:rPr>
          <w:rFonts w:cs="Times New Roman"/>
          <w:szCs w:val="24"/>
          <w:lang w:val="en-GB"/>
        </w:rPr>
        <w:t>balancing the interest of future pensioners and the local economy as well.</w:t>
      </w:r>
    </w:p>
    <w:p w:rsidR="009B0287" w:rsidRDefault="009B0287" w:rsidP="009B0287">
      <w:pPr>
        <w:spacing w:line="480" w:lineRule="auto"/>
        <w:rPr>
          <w:rFonts w:cs="Times New Roman"/>
          <w:szCs w:val="24"/>
          <w:lang w:val="en-GB"/>
        </w:rPr>
      </w:pPr>
    </w:p>
    <w:p w:rsidR="00903780" w:rsidRPr="00134A6F" w:rsidRDefault="009B0287" w:rsidP="00134A6F">
      <w:pPr>
        <w:spacing w:line="480" w:lineRule="auto"/>
        <w:rPr>
          <w:rFonts w:cs="Times New Roman"/>
          <w:b/>
          <w:szCs w:val="24"/>
          <w:lang w:val="en-GB"/>
        </w:rPr>
      </w:pPr>
      <w:r>
        <w:rPr>
          <w:rFonts w:cs="Times New Roman"/>
          <w:b/>
          <w:szCs w:val="24"/>
          <w:lang w:val="en-GB"/>
        </w:rPr>
        <w:t>References</w:t>
      </w:r>
    </w:p>
    <w:p w:rsidR="00903780" w:rsidRPr="00903780" w:rsidRDefault="00903780" w:rsidP="00903780">
      <w:pPr>
        <w:tabs>
          <w:tab w:val="left" w:pos="284"/>
        </w:tabs>
        <w:autoSpaceDE w:val="0"/>
        <w:autoSpaceDN w:val="0"/>
        <w:adjustRightInd w:val="0"/>
        <w:rPr>
          <w:szCs w:val="24"/>
          <w:lang w:val="en-GB"/>
        </w:rPr>
      </w:pPr>
      <w:r w:rsidRPr="00903780">
        <w:rPr>
          <w:szCs w:val="24"/>
          <w:lang w:val="en-GB"/>
        </w:rPr>
        <w:t>Baca</w:t>
      </w:r>
      <w:r>
        <w:rPr>
          <w:szCs w:val="24"/>
          <w:lang w:val="en-GB"/>
        </w:rPr>
        <w:t>, S.</w:t>
      </w:r>
      <w:r w:rsidRPr="00903780">
        <w:rPr>
          <w:szCs w:val="24"/>
          <w:lang w:val="en-GB"/>
        </w:rPr>
        <w:t xml:space="preserve">, </w:t>
      </w:r>
      <w:proofErr w:type="spellStart"/>
      <w:r w:rsidRPr="00903780">
        <w:rPr>
          <w:szCs w:val="24"/>
          <w:lang w:val="en-GB"/>
        </w:rPr>
        <w:t>Garbe</w:t>
      </w:r>
      <w:proofErr w:type="spellEnd"/>
      <w:r>
        <w:rPr>
          <w:szCs w:val="24"/>
          <w:lang w:val="en-GB"/>
        </w:rPr>
        <w:t>, B. and</w:t>
      </w:r>
      <w:r w:rsidRPr="00903780">
        <w:rPr>
          <w:szCs w:val="24"/>
          <w:lang w:val="en-GB"/>
        </w:rPr>
        <w:t xml:space="preserve"> </w:t>
      </w:r>
      <w:r>
        <w:rPr>
          <w:szCs w:val="24"/>
          <w:lang w:val="en-GB"/>
        </w:rPr>
        <w:t xml:space="preserve">R. </w:t>
      </w:r>
      <w:r w:rsidRPr="00903780">
        <w:rPr>
          <w:szCs w:val="24"/>
          <w:lang w:val="en-GB"/>
        </w:rPr>
        <w:t>Weiss,</w:t>
      </w:r>
      <w:r>
        <w:rPr>
          <w:szCs w:val="24"/>
          <w:lang w:val="en-GB"/>
        </w:rPr>
        <w:t xml:space="preserve"> 2000,</w:t>
      </w:r>
      <w:r w:rsidRPr="00903780">
        <w:rPr>
          <w:szCs w:val="24"/>
          <w:lang w:val="en-GB"/>
        </w:rPr>
        <w:t xml:space="preserve"> </w:t>
      </w:r>
      <w:r>
        <w:rPr>
          <w:szCs w:val="24"/>
          <w:lang w:val="en-GB"/>
        </w:rPr>
        <w:t>“</w:t>
      </w:r>
      <w:r w:rsidRPr="00903780">
        <w:rPr>
          <w:szCs w:val="24"/>
          <w:lang w:val="en-GB"/>
        </w:rPr>
        <w:t>The Rise of Sector Effects in Major Equity Markets</w:t>
      </w:r>
      <w:r>
        <w:rPr>
          <w:szCs w:val="24"/>
          <w:lang w:val="en-GB"/>
        </w:rPr>
        <w:t>”,</w:t>
      </w:r>
      <w:r w:rsidRPr="00903780">
        <w:rPr>
          <w:szCs w:val="24"/>
          <w:lang w:val="en-GB"/>
        </w:rPr>
        <w:t xml:space="preserve"> Financial Analysts Journal</w:t>
      </w:r>
      <w:r>
        <w:rPr>
          <w:szCs w:val="24"/>
          <w:lang w:val="en-GB"/>
        </w:rPr>
        <w:t xml:space="preserve">” </w:t>
      </w:r>
      <w:r w:rsidRPr="00903780">
        <w:rPr>
          <w:szCs w:val="24"/>
          <w:lang w:val="en-GB"/>
        </w:rPr>
        <w:t>September/October, 35-40</w:t>
      </w:r>
      <w:r>
        <w:rPr>
          <w:szCs w:val="24"/>
          <w:lang w:val="en-GB"/>
        </w:rPr>
        <w:t>.</w:t>
      </w:r>
    </w:p>
    <w:p w:rsidR="0058226A" w:rsidRPr="00903780" w:rsidRDefault="0058226A" w:rsidP="007603E4">
      <w:pPr>
        <w:tabs>
          <w:tab w:val="left" w:pos="284"/>
        </w:tabs>
        <w:autoSpaceDE w:val="0"/>
        <w:autoSpaceDN w:val="0"/>
        <w:adjustRightInd w:val="0"/>
        <w:ind w:firstLine="284"/>
        <w:rPr>
          <w:rFonts w:cs="Times New Roman"/>
          <w:sz w:val="20"/>
          <w:szCs w:val="20"/>
          <w:lang w:val="en-GB"/>
        </w:rPr>
      </w:pPr>
    </w:p>
    <w:p w:rsidR="0058226A" w:rsidRPr="00903780" w:rsidRDefault="0058226A" w:rsidP="0058226A">
      <w:pPr>
        <w:rPr>
          <w:rFonts w:cs="Times New Roman"/>
          <w:szCs w:val="24"/>
          <w:lang w:val="en-GB"/>
        </w:rPr>
      </w:pPr>
      <w:proofErr w:type="spellStart"/>
      <w:r w:rsidRPr="00903780">
        <w:rPr>
          <w:rFonts w:cs="Times New Roman"/>
          <w:szCs w:val="24"/>
          <w:lang w:val="en-GB"/>
        </w:rPr>
        <w:t>Bebczuk</w:t>
      </w:r>
      <w:proofErr w:type="spellEnd"/>
      <w:r w:rsidRPr="00903780">
        <w:rPr>
          <w:rFonts w:cs="Times New Roman"/>
          <w:szCs w:val="24"/>
          <w:lang w:val="en-GB"/>
        </w:rPr>
        <w:t>, R.</w:t>
      </w:r>
      <w:r w:rsidR="00903780">
        <w:rPr>
          <w:rFonts w:cs="Times New Roman"/>
          <w:szCs w:val="24"/>
          <w:lang w:val="en-GB"/>
        </w:rPr>
        <w:t xml:space="preserve"> and R. </w:t>
      </w:r>
      <w:proofErr w:type="spellStart"/>
      <w:r w:rsidR="00903780">
        <w:rPr>
          <w:rFonts w:cs="Times New Roman"/>
          <w:szCs w:val="24"/>
          <w:lang w:val="en-GB"/>
        </w:rPr>
        <w:t>Musalem</w:t>
      </w:r>
      <w:proofErr w:type="spellEnd"/>
      <w:r w:rsidR="00903780">
        <w:rPr>
          <w:rFonts w:cs="Times New Roman"/>
          <w:szCs w:val="24"/>
          <w:lang w:val="en-GB"/>
        </w:rPr>
        <w:t>, 2009,</w:t>
      </w:r>
      <w:r w:rsidRPr="00903780">
        <w:rPr>
          <w:rFonts w:cs="Times New Roman"/>
          <w:szCs w:val="24"/>
          <w:lang w:val="en-GB"/>
        </w:rPr>
        <w:t xml:space="preserve"> “</w:t>
      </w:r>
      <w:r w:rsidRPr="00903780">
        <w:rPr>
          <w:rFonts w:cs="Times New Roman"/>
          <w:bCs/>
          <w:szCs w:val="24"/>
          <w:lang w:val="en-GB"/>
        </w:rPr>
        <w:t>How Can Financial Markets Be Developed to Better</w:t>
      </w:r>
      <w:r w:rsidRPr="00903780">
        <w:rPr>
          <w:rFonts w:cs="Times New Roman"/>
          <w:szCs w:val="24"/>
          <w:lang w:val="en-GB"/>
        </w:rPr>
        <w:t xml:space="preserve"> </w:t>
      </w:r>
      <w:r w:rsidRPr="00903780">
        <w:rPr>
          <w:rFonts w:cs="Times New Roman"/>
          <w:bCs/>
          <w:szCs w:val="24"/>
          <w:lang w:val="en-GB"/>
        </w:rPr>
        <w:t xml:space="preserve">Support Funded Systems?” [in:] </w:t>
      </w:r>
      <w:proofErr w:type="spellStart"/>
      <w:r w:rsidRPr="00903780">
        <w:rPr>
          <w:rFonts w:cs="Times New Roman"/>
          <w:szCs w:val="24"/>
          <w:lang w:val="en-GB"/>
        </w:rPr>
        <w:t>Holzmann</w:t>
      </w:r>
      <w:proofErr w:type="spellEnd"/>
      <w:r w:rsidRPr="00903780">
        <w:rPr>
          <w:rFonts w:cs="Times New Roman"/>
          <w:szCs w:val="24"/>
          <w:lang w:val="en-GB"/>
        </w:rPr>
        <w:t>, R. (ed.), “Aging Population, Pension Funds, and Financial Markets: Regional Perspectives and Global Challenges for Central</w:t>
      </w:r>
      <w:r w:rsidR="00903780">
        <w:rPr>
          <w:rFonts w:cs="Times New Roman"/>
          <w:szCs w:val="24"/>
          <w:lang w:val="en-GB"/>
        </w:rPr>
        <w:t>, Eastern, and Southern Europe”</w:t>
      </w:r>
      <w:r w:rsidRPr="00903780">
        <w:rPr>
          <w:rFonts w:cs="Times New Roman"/>
          <w:szCs w:val="24"/>
          <w:lang w:val="en-GB"/>
        </w:rPr>
        <w:t xml:space="preserve"> </w:t>
      </w:r>
      <w:r w:rsidR="00903780">
        <w:rPr>
          <w:rFonts w:cs="Times New Roman"/>
          <w:szCs w:val="24"/>
          <w:lang w:val="en-GB"/>
        </w:rPr>
        <w:t>(</w:t>
      </w:r>
      <w:r w:rsidRPr="00903780">
        <w:rPr>
          <w:rFonts w:cs="Times New Roman"/>
          <w:szCs w:val="24"/>
          <w:lang w:val="en-GB"/>
        </w:rPr>
        <w:t>The World Bank, Washington DC</w:t>
      </w:r>
      <w:r w:rsidR="00903780">
        <w:rPr>
          <w:rFonts w:cs="Times New Roman"/>
          <w:szCs w:val="24"/>
          <w:lang w:val="en-GB"/>
        </w:rPr>
        <w:t>)</w:t>
      </w:r>
      <w:r w:rsidRPr="00903780">
        <w:rPr>
          <w:rFonts w:cs="Times New Roman"/>
          <w:szCs w:val="24"/>
          <w:lang w:val="en-GB"/>
        </w:rPr>
        <w:t>.</w:t>
      </w:r>
    </w:p>
    <w:p w:rsidR="0058226A" w:rsidRPr="00903780" w:rsidRDefault="0058226A" w:rsidP="007603E4">
      <w:pPr>
        <w:tabs>
          <w:tab w:val="left" w:pos="284"/>
        </w:tabs>
        <w:autoSpaceDE w:val="0"/>
        <w:autoSpaceDN w:val="0"/>
        <w:adjustRightInd w:val="0"/>
        <w:ind w:firstLine="284"/>
        <w:rPr>
          <w:rFonts w:cs="Times New Roman"/>
          <w:sz w:val="20"/>
          <w:szCs w:val="20"/>
          <w:lang w:val="en-GB"/>
        </w:rPr>
      </w:pPr>
    </w:p>
    <w:p w:rsidR="0058226A" w:rsidRPr="00903780" w:rsidRDefault="0058226A" w:rsidP="007603E4">
      <w:pPr>
        <w:tabs>
          <w:tab w:val="left" w:pos="284"/>
        </w:tabs>
        <w:autoSpaceDE w:val="0"/>
        <w:autoSpaceDN w:val="0"/>
        <w:adjustRightInd w:val="0"/>
        <w:ind w:firstLine="284"/>
        <w:rPr>
          <w:rFonts w:cs="Times New Roman"/>
          <w:sz w:val="20"/>
          <w:szCs w:val="20"/>
          <w:lang w:val="en-GB"/>
        </w:rPr>
      </w:pPr>
    </w:p>
    <w:p w:rsidR="007603E4" w:rsidRPr="004922EF" w:rsidRDefault="007603E4" w:rsidP="00903780">
      <w:pPr>
        <w:tabs>
          <w:tab w:val="left" w:pos="284"/>
        </w:tabs>
        <w:rPr>
          <w:rFonts w:cs="Times New Roman"/>
          <w:szCs w:val="24"/>
          <w:lang w:val="en-GB"/>
        </w:rPr>
      </w:pPr>
      <w:r w:rsidRPr="004922EF">
        <w:rPr>
          <w:rFonts w:cs="Times New Roman"/>
          <w:szCs w:val="24"/>
          <w:lang w:val="en-GB"/>
        </w:rPr>
        <w:lastRenderedPageBreak/>
        <w:t>Brooks</w:t>
      </w:r>
      <w:r w:rsidR="00903780" w:rsidRPr="004922EF">
        <w:rPr>
          <w:rFonts w:cs="Times New Roman"/>
          <w:szCs w:val="24"/>
          <w:lang w:val="en-GB"/>
        </w:rPr>
        <w:t>,</w:t>
      </w:r>
      <w:r w:rsidRPr="004922EF">
        <w:rPr>
          <w:rFonts w:cs="Times New Roman"/>
          <w:szCs w:val="24"/>
          <w:lang w:val="en-GB"/>
        </w:rPr>
        <w:t xml:space="preserve"> R.</w:t>
      </w:r>
      <w:r w:rsidR="00903780" w:rsidRPr="004922EF">
        <w:rPr>
          <w:rFonts w:cs="Times New Roman"/>
          <w:szCs w:val="24"/>
          <w:lang w:val="en-GB"/>
        </w:rPr>
        <w:t xml:space="preserve"> and</w:t>
      </w:r>
      <w:r w:rsidRPr="004922EF">
        <w:rPr>
          <w:rFonts w:cs="Times New Roman"/>
          <w:szCs w:val="24"/>
          <w:lang w:val="en-GB"/>
        </w:rPr>
        <w:t xml:space="preserve"> </w:t>
      </w:r>
      <w:r w:rsidR="00903780" w:rsidRPr="004922EF">
        <w:rPr>
          <w:rFonts w:cs="Times New Roman"/>
          <w:szCs w:val="24"/>
          <w:lang w:val="en-GB"/>
        </w:rPr>
        <w:t>M. Del Negro, 2002</w:t>
      </w:r>
      <w:r w:rsidRPr="004922EF">
        <w:rPr>
          <w:rFonts w:cs="Times New Roman"/>
          <w:szCs w:val="24"/>
          <w:lang w:val="en-GB"/>
        </w:rPr>
        <w:t xml:space="preserve">, </w:t>
      </w:r>
      <w:r w:rsidR="00903780" w:rsidRPr="004922EF">
        <w:rPr>
          <w:rFonts w:cs="Times New Roman"/>
          <w:szCs w:val="24"/>
          <w:lang w:val="en-GB"/>
        </w:rPr>
        <w:t>“</w:t>
      </w:r>
      <w:r w:rsidRPr="004922EF">
        <w:rPr>
          <w:rFonts w:cs="Times New Roman"/>
          <w:szCs w:val="24"/>
          <w:lang w:val="en-GB"/>
        </w:rPr>
        <w:t>Firm-Level Evidence on Globalization</w:t>
      </w:r>
      <w:r w:rsidR="00903780" w:rsidRPr="004922EF">
        <w:rPr>
          <w:rFonts w:cs="Times New Roman"/>
          <w:szCs w:val="24"/>
          <w:lang w:val="en-GB"/>
        </w:rPr>
        <w:t>”</w:t>
      </w:r>
      <w:r w:rsidRPr="004922EF">
        <w:rPr>
          <w:rFonts w:cs="Times New Roman"/>
          <w:szCs w:val="24"/>
          <w:lang w:val="en-GB"/>
        </w:rPr>
        <w:t>, mimeo</w:t>
      </w:r>
      <w:r w:rsidR="00903780" w:rsidRPr="004922EF">
        <w:rPr>
          <w:rFonts w:cs="Times New Roman"/>
          <w:szCs w:val="24"/>
          <w:lang w:val="en-GB"/>
        </w:rPr>
        <w:t>.</w:t>
      </w:r>
    </w:p>
    <w:p w:rsidR="007603E4" w:rsidRPr="00903780" w:rsidRDefault="007603E4" w:rsidP="007603E4">
      <w:pPr>
        <w:tabs>
          <w:tab w:val="left" w:pos="284"/>
        </w:tabs>
        <w:autoSpaceDE w:val="0"/>
        <w:autoSpaceDN w:val="0"/>
        <w:adjustRightInd w:val="0"/>
        <w:ind w:firstLine="284"/>
        <w:rPr>
          <w:rFonts w:cs="Times New Roman"/>
          <w:sz w:val="20"/>
          <w:szCs w:val="20"/>
          <w:lang w:val="en-GB"/>
        </w:rPr>
      </w:pPr>
    </w:p>
    <w:p w:rsidR="0058226A" w:rsidRPr="00903780" w:rsidRDefault="0058226A" w:rsidP="0058226A">
      <w:pPr>
        <w:rPr>
          <w:rFonts w:cs="Times New Roman"/>
          <w:szCs w:val="24"/>
          <w:lang w:val="en-GB"/>
        </w:rPr>
      </w:pPr>
      <w:r w:rsidRPr="00903780">
        <w:rPr>
          <w:rFonts w:cs="Times New Roman"/>
          <w:szCs w:val="24"/>
          <w:lang w:val="en-GB"/>
        </w:rPr>
        <w:t>Carmona, J., 2006</w:t>
      </w:r>
      <w:r w:rsidR="00C4346D">
        <w:rPr>
          <w:rFonts w:cs="Times New Roman"/>
          <w:szCs w:val="24"/>
          <w:lang w:val="en-GB"/>
        </w:rPr>
        <w:t>,</w:t>
      </w:r>
      <w:r w:rsidRPr="00903780">
        <w:rPr>
          <w:rFonts w:cs="Times New Roman"/>
          <w:szCs w:val="24"/>
          <w:lang w:val="en-GB"/>
        </w:rPr>
        <w:t xml:space="preserve"> “Revisiting Legal Limitations on Foreign Investing by Pension Funds”, </w:t>
      </w:r>
      <w:r w:rsidR="00C4346D">
        <w:rPr>
          <w:rFonts w:cs="Times New Roman"/>
          <w:szCs w:val="24"/>
          <w:lang w:val="en-GB"/>
        </w:rPr>
        <w:t>mimeo</w:t>
      </w:r>
      <w:r w:rsidRPr="00903780">
        <w:rPr>
          <w:rFonts w:cs="Times New Roman"/>
          <w:szCs w:val="24"/>
          <w:lang w:val="en-GB"/>
        </w:rPr>
        <w:t>.</w:t>
      </w:r>
    </w:p>
    <w:p w:rsidR="0058226A" w:rsidRPr="00903780" w:rsidRDefault="0058226A" w:rsidP="007603E4">
      <w:pPr>
        <w:tabs>
          <w:tab w:val="left" w:pos="284"/>
        </w:tabs>
        <w:autoSpaceDE w:val="0"/>
        <w:autoSpaceDN w:val="0"/>
        <w:adjustRightInd w:val="0"/>
        <w:ind w:firstLine="284"/>
        <w:rPr>
          <w:rFonts w:cs="Times New Roman"/>
          <w:sz w:val="20"/>
          <w:szCs w:val="20"/>
          <w:lang w:val="en-GB"/>
        </w:rPr>
      </w:pPr>
    </w:p>
    <w:p w:rsidR="00913215" w:rsidRPr="00903780" w:rsidRDefault="00913215" w:rsidP="00903780">
      <w:pPr>
        <w:rPr>
          <w:rFonts w:cs="Times New Roman"/>
          <w:szCs w:val="24"/>
        </w:rPr>
      </w:pPr>
      <w:proofErr w:type="spellStart"/>
      <w:r w:rsidRPr="00903780">
        <w:rPr>
          <w:rFonts w:cs="Times New Roman"/>
          <w:szCs w:val="24"/>
        </w:rPr>
        <w:t>Chybalski</w:t>
      </w:r>
      <w:proofErr w:type="spellEnd"/>
      <w:r w:rsidRPr="00903780">
        <w:rPr>
          <w:rFonts w:cs="Times New Roman"/>
          <w:szCs w:val="24"/>
        </w:rPr>
        <w:t>, F.</w:t>
      </w:r>
      <w:r w:rsidR="00903780" w:rsidRPr="00903780">
        <w:rPr>
          <w:rFonts w:cs="Times New Roman"/>
          <w:szCs w:val="24"/>
        </w:rPr>
        <w:t>,</w:t>
      </w:r>
      <w:r w:rsidRPr="00903780">
        <w:rPr>
          <w:rFonts w:cs="Times New Roman"/>
          <w:szCs w:val="24"/>
        </w:rPr>
        <w:t xml:space="preserve"> 2009. “Analiza podobieństwa portfeli inwestycyjnych OFE </w:t>
      </w:r>
    </w:p>
    <w:p w:rsidR="00913215" w:rsidRPr="00903780" w:rsidRDefault="00913215" w:rsidP="00903780">
      <w:pPr>
        <w:rPr>
          <w:rFonts w:cs="Times New Roman"/>
          <w:szCs w:val="24"/>
        </w:rPr>
      </w:pPr>
      <w:r w:rsidRPr="00903780">
        <w:rPr>
          <w:rFonts w:cs="Times New Roman"/>
          <w:szCs w:val="24"/>
        </w:rPr>
        <w:t xml:space="preserve">z wykorzystaniem metod taksonomicznych” </w:t>
      </w:r>
      <w:r w:rsidR="00903780" w:rsidRPr="00903780">
        <w:rPr>
          <w:rFonts w:cs="Times New Roman"/>
          <w:bCs/>
          <w:szCs w:val="24"/>
        </w:rPr>
        <w:t>[in:]</w:t>
      </w:r>
      <w:r w:rsidR="00903780">
        <w:rPr>
          <w:rFonts w:cs="Times New Roman"/>
          <w:bCs/>
          <w:szCs w:val="24"/>
        </w:rPr>
        <w:t xml:space="preserve"> </w:t>
      </w:r>
      <w:proofErr w:type="spellStart"/>
      <w:r w:rsidR="00903780" w:rsidRPr="00903780">
        <w:rPr>
          <w:rFonts w:cs="Times New Roman"/>
          <w:szCs w:val="24"/>
        </w:rPr>
        <w:t>Chybalski</w:t>
      </w:r>
      <w:proofErr w:type="spellEnd"/>
      <w:r w:rsidR="00903780" w:rsidRPr="00903780">
        <w:rPr>
          <w:rFonts w:cs="Times New Roman"/>
          <w:szCs w:val="24"/>
        </w:rPr>
        <w:t>, F.</w:t>
      </w:r>
      <w:r w:rsidR="00903780">
        <w:rPr>
          <w:rFonts w:cs="Times New Roman"/>
          <w:szCs w:val="24"/>
        </w:rPr>
        <w:t xml:space="preserve"> (ed.)</w:t>
      </w:r>
      <w:r w:rsidR="00903780" w:rsidRPr="00903780">
        <w:rPr>
          <w:rFonts w:cs="Times New Roman"/>
          <w:szCs w:val="24"/>
        </w:rPr>
        <w:t xml:space="preserve">, </w:t>
      </w:r>
      <w:r w:rsidR="00903780" w:rsidRPr="00903780">
        <w:rPr>
          <w:rFonts w:cs="Times New Roman"/>
          <w:bCs/>
          <w:szCs w:val="24"/>
        </w:rPr>
        <w:t xml:space="preserve"> </w:t>
      </w:r>
      <w:r w:rsidR="00903780">
        <w:rPr>
          <w:rFonts w:cs="Times New Roman"/>
          <w:bCs/>
          <w:szCs w:val="24"/>
        </w:rPr>
        <w:t>„</w:t>
      </w:r>
      <w:r w:rsidRPr="00903780">
        <w:rPr>
          <w:rFonts w:cs="Times New Roman"/>
          <w:szCs w:val="24"/>
        </w:rPr>
        <w:t>Otwarte fundusze emerytalne w Polsce. Analiza działalności inwestycyjnej, finansów oraz decyzji członków</w:t>
      </w:r>
      <w:r w:rsidR="00903780">
        <w:rPr>
          <w:rFonts w:cs="Times New Roman"/>
          <w:szCs w:val="24"/>
        </w:rPr>
        <w:t>”</w:t>
      </w:r>
      <w:r w:rsidR="00837D00">
        <w:rPr>
          <w:rFonts w:cs="Times New Roman"/>
          <w:szCs w:val="24"/>
        </w:rPr>
        <w:t xml:space="preserve"> </w:t>
      </w:r>
      <w:r w:rsidR="00903780">
        <w:rPr>
          <w:rFonts w:cs="Times New Roman"/>
          <w:szCs w:val="24"/>
        </w:rPr>
        <w:t xml:space="preserve">(Wydawnictwo C.H. Beck, </w:t>
      </w:r>
      <w:proofErr w:type="spellStart"/>
      <w:r w:rsidR="00903780">
        <w:rPr>
          <w:rFonts w:cs="Times New Roman"/>
          <w:szCs w:val="24"/>
        </w:rPr>
        <w:t>Warsaw</w:t>
      </w:r>
      <w:proofErr w:type="spellEnd"/>
      <w:r w:rsidR="00903780">
        <w:rPr>
          <w:rFonts w:cs="Times New Roman"/>
          <w:szCs w:val="24"/>
        </w:rPr>
        <w:t>)</w:t>
      </w:r>
      <w:r w:rsidRPr="00903780">
        <w:rPr>
          <w:rFonts w:cs="Times New Roman"/>
          <w:szCs w:val="24"/>
        </w:rPr>
        <w:t>.</w:t>
      </w:r>
    </w:p>
    <w:p w:rsidR="00913215" w:rsidRPr="00903780" w:rsidRDefault="00913215" w:rsidP="00903780">
      <w:pPr>
        <w:rPr>
          <w:rFonts w:cs="Times New Roman"/>
          <w:szCs w:val="24"/>
        </w:rPr>
      </w:pPr>
    </w:p>
    <w:p w:rsidR="00913215" w:rsidRPr="00C4346D" w:rsidRDefault="00913215" w:rsidP="00913215">
      <w:pPr>
        <w:rPr>
          <w:rFonts w:cs="Times New Roman"/>
          <w:szCs w:val="24"/>
          <w:lang w:val="en-GB"/>
        </w:rPr>
      </w:pPr>
      <w:proofErr w:type="spellStart"/>
      <w:r w:rsidRPr="00B06345">
        <w:rPr>
          <w:rFonts w:cs="Times New Roman"/>
          <w:szCs w:val="24"/>
          <w:lang w:val="en-US"/>
        </w:rPr>
        <w:t>Chybalski</w:t>
      </w:r>
      <w:proofErr w:type="spellEnd"/>
      <w:r w:rsidRPr="00B06345">
        <w:rPr>
          <w:rFonts w:cs="Times New Roman"/>
          <w:szCs w:val="24"/>
          <w:lang w:val="en-US"/>
        </w:rPr>
        <w:t>, F., 2011. “</w:t>
      </w:r>
      <w:r w:rsidRPr="00B06345">
        <w:rPr>
          <w:rFonts w:cs="Times New Roman"/>
          <w:bCs/>
          <w:szCs w:val="24"/>
          <w:lang w:val="en-US"/>
        </w:rPr>
        <w:t xml:space="preserve">The Resilience of Pension Systems in the CEE Countries to Financial and Economic Crisis: the Need </w:t>
      </w:r>
      <w:proofErr w:type="spellStart"/>
      <w:r w:rsidRPr="00B06345">
        <w:rPr>
          <w:rFonts w:cs="Times New Roman"/>
          <w:bCs/>
          <w:szCs w:val="24"/>
          <w:lang w:val="en-US"/>
        </w:rPr>
        <w:t>fo</w:t>
      </w:r>
      <w:proofErr w:type="spellEnd"/>
      <w:r w:rsidRPr="00C4346D">
        <w:rPr>
          <w:rFonts w:cs="Times New Roman"/>
          <w:bCs/>
          <w:szCs w:val="24"/>
          <w:lang w:val="en-GB"/>
        </w:rPr>
        <w:t>r Higher Diversification”, 13</w:t>
      </w:r>
      <w:r w:rsidRPr="00C4346D">
        <w:rPr>
          <w:rFonts w:cs="Times New Roman"/>
          <w:bCs/>
          <w:szCs w:val="24"/>
          <w:vertAlign w:val="superscript"/>
          <w:lang w:val="en-GB"/>
        </w:rPr>
        <w:t>th</w:t>
      </w:r>
      <w:r w:rsidRPr="00C4346D">
        <w:rPr>
          <w:rFonts w:cs="Times New Roman"/>
          <w:bCs/>
          <w:szCs w:val="24"/>
          <w:lang w:val="en-GB"/>
        </w:rPr>
        <w:t xml:space="preserve"> International Conference on Finance and Banking Proceedings, Ostrava.</w:t>
      </w:r>
    </w:p>
    <w:p w:rsidR="00913215" w:rsidRPr="00903780" w:rsidRDefault="00913215" w:rsidP="00913215">
      <w:pPr>
        <w:rPr>
          <w:rFonts w:cs="Times New Roman"/>
          <w:szCs w:val="24"/>
          <w:highlight w:val="yellow"/>
          <w:lang w:val="en-GB"/>
        </w:rPr>
      </w:pPr>
    </w:p>
    <w:p w:rsidR="00811CC5" w:rsidRPr="00C4346D" w:rsidRDefault="00C4346D" w:rsidP="00C4346D">
      <w:pPr>
        <w:rPr>
          <w:rFonts w:cs="Times New Roman"/>
          <w:szCs w:val="24"/>
          <w:lang w:val="en-GB"/>
        </w:rPr>
      </w:pPr>
      <w:r w:rsidRPr="00C4346D">
        <w:rPr>
          <w:rFonts w:cs="Times New Roman"/>
          <w:szCs w:val="24"/>
          <w:lang w:val="en-GB"/>
        </w:rPr>
        <w:t>Elton, E.</w:t>
      </w:r>
      <w:r w:rsidR="00811CC5" w:rsidRPr="00C4346D">
        <w:rPr>
          <w:rFonts w:cs="Times New Roman"/>
          <w:szCs w:val="24"/>
          <w:lang w:val="en-GB"/>
        </w:rPr>
        <w:t>, Gruber, M.</w:t>
      </w:r>
      <w:r w:rsidRPr="00C4346D">
        <w:rPr>
          <w:rFonts w:cs="Times New Roman"/>
          <w:szCs w:val="24"/>
          <w:lang w:val="en-GB"/>
        </w:rPr>
        <w:t>,</w:t>
      </w:r>
      <w:r w:rsidR="00811CC5" w:rsidRPr="00C4346D">
        <w:rPr>
          <w:rFonts w:cs="Times New Roman"/>
          <w:szCs w:val="24"/>
          <w:lang w:val="en-GB"/>
        </w:rPr>
        <w:t xml:space="preserve"> Brown, S. </w:t>
      </w:r>
      <w:r w:rsidRPr="00C4346D">
        <w:rPr>
          <w:rFonts w:cs="Times New Roman"/>
          <w:szCs w:val="24"/>
          <w:lang w:val="en-GB"/>
        </w:rPr>
        <w:t>And W.</w:t>
      </w:r>
      <w:r w:rsidR="00811CC5" w:rsidRPr="00C4346D">
        <w:rPr>
          <w:rFonts w:cs="Times New Roman"/>
          <w:szCs w:val="24"/>
          <w:lang w:val="en-GB"/>
        </w:rPr>
        <w:t xml:space="preserve"> </w:t>
      </w:r>
      <w:proofErr w:type="spellStart"/>
      <w:r w:rsidR="00811CC5" w:rsidRPr="00C4346D">
        <w:rPr>
          <w:rFonts w:cs="Times New Roman"/>
          <w:szCs w:val="24"/>
          <w:lang w:val="en-GB"/>
        </w:rPr>
        <w:t>Goetzman</w:t>
      </w:r>
      <w:proofErr w:type="spellEnd"/>
      <w:r w:rsidR="00811CC5" w:rsidRPr="00C4346D">
        <w:rPr>
          <w:rFonts w:cs="Times New Roman"/>
          <w:szCs w:val="24"/>
          <w:lang w:val="en-GB"/>
        </w:rPr>
        <w:t xml:space="preserve">, </w:t>
      </w:r>
      <w:r w:rsidRPr="00C4346D">
        <w:rPr>
          <w:rFonts w:cs="Times New Roman"/>
          <w:szCs w:val="24"/>
          <w:lang w:val="en-GB"/>
        </w:rPr>
        <w:t>1995,</w:t>
      </w:r>
      <w:r w:rsidR="00811CC5" w:rsidRPr="00C4346D">
        <w:rPr>
          <w:rFonts w:cs="Times New Roman"/>
          <w:szCs w:val="24"/>
          <w:lang w:val="en-GB"/>
        </w:rPr>
        <w:t xml:space="preserve"> </w:t>
      </w:r>
      <w:r w:rsidRPr="00C4346D">
        <w:rPr>
          <w:rFonts w:cs="Times New Roman"/>
          <w:szCs w:val="24"/>
          <w:lang w:val="en-GB"/>
        </w:rPr>
        <w:t>“</w:t>
      </w:r>
      <w:r w:rsidR="00811CC5" w:rsidRPr="00C4346D">
        <w:rPr>
          <w:rFonts w:cs="Times New Roman"/>
          <w:szCs w:val="24"/>
          <w:lang w:val="en-GB"/>
        </w:rPr>
        <w:t>Modern Portfolio</w:t>
      </w:r>
      <w:r w:rsidRPr="00C4346D">
        <w:rPr>
          <w:rFonts w:cs="Times New Roman"/>
          <w:szCs w:val="24"/>
          <w:lang w:val="en-GB"/>
        </w:rPr>
        <w:t xml:space="preserve"> </w:t>
      </w:r>
      <w:r w:rsidR="00811CC5" w:rsidRPr="00C4346D">
        <w:rPr>
          <w:rFonts w:cs="Times New Roman"/>
          <w:szCs w:val="24"/>
          <w:lang w:val="en-GB"/>
        </w:rPr>
        <w:t>Theory and Investment Analysis</w:t>
      </w:r>
      <w:r w:rsidRPr="00C4346D">
        <w:rPr>
          <w:rFonts w:cs="Times New Roman"/>
          <w:szCs w:val="24"/>
          <w:lang w:val="en-GB"/>
        </w:rPr>
        <w:t>”</w:t>
      </w:r>
      <w:r w:rsidR="00811CC5" w:rsidRPr="00C4346D">
        <w:rPr>
          <w:rFonts w:cs="Times New Roman"/>
          <w:szCs w:val="24"/>
          <w:lang w:val="en-GB"/>
        </w:rPr>
        <w:t xml:space="preserve"> </w:t>
      </w:r>
      <w:r w:rsidRPr="00C4346D">
        <w:rPr>
          <w:rFonts w:cs="Times New Roman"/>
          <w:szCs w:val="24"/>
          <w:lang w:val="en-GB"/>
        </w:rPr>
        <w:t>(</w:t>
      </w:r>
      <w:r w:rsidR="00811CC5" w:rsidRPr="00C4346D">
        <w:rPr>
          <w:rFonts w:cs="Times New Roman"/>
          <w:szCs w:val="24"/>
          <w:lang w:val="en-GB"/>
        </w:rPr>
        <w:t>John Wiley &amp; Sons</w:t>
      </w:r>
      <w:r w:rsidRPr="00C4346D">
        <w:rPr>
          <w:rFonts w:cs="Times New Roman"/>
          <w:szCs w:val="24"/>
          <w:lang w:val="en-GB"/>
        </w:rPr>
        <w:t>)</w:t>
      </w:r>
      <w:r w:rsidR="00811CC5" w:rsidRPr="00C4346D">
        <w:rPr>
          <w:rFonts w:cs="Times New Roman"/>
          <w:szCs w:val="24"/>
          <w:lang w:val="en-GB"/>
        </w:rPr>
        <w:t>.</w:t>
      </w:r>
    </w:p>
    <w:p w:rsidR="00811CC5" w:rsidRPr="00903780" w:rsidRDefault="00811CC5" w:rsidP="007603E4">
      <w:pPr>
        <w:tabs>
          <w:tab w:val="left" w:pos="284"/>
        </w:tabs>
        <w:autoSpaceDE w:val="0"/>
        <w:autoSpaceDN w:val="0"/>
        <w:adjustRightInd w:val="0"/>
        <w:ind w:firstLine="284"/>
        <w:rPr>
          <w:rFonts w:cs="Times New Roman"/>
          <w:sz w:val="20"/>
          <w:szCs w:val="20"/>
          <w:highlight w:val="yellow"/>
          <w:lang w:val="en-GB"/>
        </w:rPr>
      </w:pPr>
    </w:p>
    <w:p w:rsidR="007603E4" w:rsidRPr="00C4346D" w:rsidRDefault="00C814AB" w:rsidP="00C4346D">
      <w:pPr>
        <w:autoSpaceDE w:val="0"/>
        <w:autoSpaceDN w:val="0"/>
        <w:adjustRightInd w:val="0"/>
        <w:jc w:val="left"/>
        <w:rPr>
          <w:rFonts w:cs="Times New Roman"/>
          <w:szCs w:val="24"/>
        </w:rPr>
      </w:pPr>
      <w:r w:rsidRPr="00C4346D">
        <w:rPr>
          <w:rFonts w:cs="Times New Roman"/>
          <w:szCs w:val="24"/>
        </w:rPr>
        <w:t>Góra, M., 2003, “System emerytalny” (P</w:t>
      </w:r>
      <w:r w:rsidR="00C4346D" w:rsidRPr="00C4346D">
        <w:rPr>
          <w:rFonts w:cs="Times New Roman"/>
          <w:szCs w:val="24"/>
        </w:rPr>
        <w:t>olskie Wydawnictwo Ekonomiczne, Warsaw</w:t>
      </w:r>
      <w:r w:rsidRPr="00C4346D">
        <w:rPr>
          <w:rFonts w:cs="Times New Roman"/>
          <w:szCs w:val="24"/>
        </w:rPr>
        <w:t>).</w:t>
      </w:r>
    </w:p>
    <w:p w:rsidR="00C814AB" w:rsidRPr="00903780" w:rsidRDefault="00C814AB" w:rsidP="007603E4">
      <w:pPr>
        <w:autoSpaceDE w:val="0"/>
        <w:autoSpaceDN w:val="0"/>
        <w:adjustRightInd w:val="0"/>
        <w:ind w:firstLine="284"/>
        <w:rPr>
          <w:rFonts w:cs="Times New Roman"/>
          <w:sz w:val="20"/>
          <w:szCs w:val="20"/>
          <w:highlight w:val="yellow"/>
        </w:rPr>
      </w:pPr>
    </w:p>
    <w:p w:rsidR="007603E4" w:rsidRPr="00291296" w:rsidRDefault="007603E4" w:rsidP="00C4346D">
      <w:pPr>
        <w:autoSpaceDE w:val="0"/>
        <w:autoSpaceDN w:val="0"/>
        <w:adjustRightInd w:val="0"/>
        <w:rPr>
          <w:rFonts w:cs="Times New Roman"/>
          <w:szCs w:val="20"/>
          <w:lang w:val="en-GB"/>
        </w:rPr>
      </w:pPr>
      <w:proofErr w:type="spellStart"/>
      <w:r w:rsidRPr="00291296">
        <w:rPr>
          <w:rFonts w:cs="Times New Roman"/>
          <w:szCs w:val="20"/>
          <w:lang w:val="en-GB"/>
        </w:rPr>
        <w:t>Grubel</w:t>
      </w:r>
      <w:proofErr w:type="spellEnd"/>
      <w:r w:rsidR="00C4346D" w:rsidRPr="00291296">
        <w:rPr>
          <w:rFonts w:cs="Times New Roman"/>
          <w:szCs w:val="20"/>
          <w:lang w:val="en-GB"/>
        </w:rPr>
        <w:t>, H.</w:t>
      </w:r>
      <w:r w:rsidRPr="00291296">
        <w:rPr>
          <w:rFonts w:cs="Times New Roman"/>
          <w:szCs w:val="20"/>
          <w:lang w:val="en-GB"/>
        </w:rPr>
        <w:t>,</w:t>
      </w:r>
      <w:r w:rsidR="00C4346D" w:rsidRPr="00291296">
        <w:rPr>
          <w:rFonts w:cs="Times New Roman"/>
          <w:szCs w:val="20"/>
          <w:lang w:val="en-GB"/>
        </w:rPr>
        <w:t xml:space="preserve"> 1968,</w:t>
      </w:r>
      <w:r w:rsidRPr="00291296">
        <w:rPr>
          <w:rFonts w:cs="Times New Roman"/>
          <w:szCs w:val="20"/>
          <w:lang w:val="en-GB"/>
        </w:rPr>
        <w:t xml:space="preserve"> </w:t>
      </w:r>
      <w:r w:rsidR="00C4346D" w:rsidRPr="00291296">
        <w:rPr>
          <w:rFonts w:cs="Times New Roman"/>
          <w:szCs w:val="20"/>
          <w:lang w:val="en-GB"/>
        </w:rPr>
        <w:t>“</w:t>
      </w:r>
      <w:r w:rsidRPr="00291296">
        <w:rPr>
          <w:rFonts w:cs="Times New Roman"/>
          <w:szCs w:val="20"/>
          <w:lang w:val="en-GB"/>
        </w:rPr>
        <w:t>Internationally Diversified Portfolios: Welfare Gains and Capital Flows</w:t>
      </w:r>
      <w:r w:rsidR="00C4346D" w:rsidRPr="00291296">
        <w:rPr>
          <w:rFonts w:cs="Times New Roman"/>
          <w:szCs w:val="20"/>
          <w:lang w:val="en-GB"/>
        </w:rPr>
        <w:t>”</w:t>
      </w:r>
      <w:r w:rsidRPr="00291296">
        <w:rPr>
          <w:rFonts w:cs="Times New Roman"/>
          <w:szCs w:val="20"/>
          <w:lang w:val="en-GB"/>
        </w:rPr>
        <w:t xml:space="preserve">, </w:t>
      </w:r>
      <w:r w:rsidR="00C4346D" w:rsidRPr="00291296">
        <w:rPr>
          <w:rFonts w:cs="Times New Roman"/>
          <w:szCs w:val="20"/>
          <w:lang w:val="en-GB"/>
        </w:rPr>
        <w:t>The American Economic Review</w:t>
      </w:r>
      <w:r w:rsidRPr="00291296">
        <w:rPr>
          <w:rFonts w:cs="Times New Roman"/>
          <w:szCs w:val="20"/>
          <w:lang w:val="en-GB"/>
        </w:rPr>
        <w:t xml:space="preserve"> </w:t>
      </w:r>
      <w:r w:rsidR="00C4346D" w:rsidRPr="00291296">
        <w:rPr>
          <w:rFonts w:cs="Times New Roman"/>
          <w:szCs w:val="20"/>
          <w:lang w:val="en-GB"/>
        </w:rPr>
        <w:t>58(</w:t>
      </w:r>
      <w:r w:rsidRPr="00291296">
        <w:rPr>
          <w:rFonts w:cs="Times New Roman"/>
          <w:szCs w:val="20"/>
          <w:lang w:val="en-GB"/>
        </w:rPr>
        <w:t>5</w:t>
      </w:r>
      <w:r w:rsidR="00C4346D" w:rsidRPr="00291296">
        <w:rPr>
          <w:rFonts w:cs="Times New Roman"/>
          <w:szCs w:val="20"/>
          <w:lang w:val="en-GB"/>
        </w:rPr>
        <w:t>)</w:t>
      </w:r>
      <w:r w:rsidRPr="00291296">
        <w:rPr>
          <w:rFonts w:cs="Times New Roman"/>
          <w:szCs w:val="20"/>
          <w:lang w:val="en-GB"/>
        </w:rPr>
        <w:t>, 1299–1314.</w:t>
      </w:r>
    </w:p>
    <w:p w:rsidR="00F3586E" w:rsidRPr="00903780" w:rsidRDefault="00F3586E" w:rsidP="00E631D7">
      <w:pPr>
        <w:autoSpaceDE w:val="0"/>
        <w:autoSpaceDN w:val="0"/>
        <w:adjustRightInd w:val="0"/>
        <w:rPr>
          <w:rFonts w:cs="Times New Roman"/>
          <w:sz w:val="20"/>
          <w:szCs w:val="20"/>
          <w:highlight w:val="yellow"/>
          <w:lang w:val="en-GB"/>
        </w:rPr>
      </w:pPr>
    </w:p>
    <w:p w:rsidR="000F6B38" w:rsidRPr="00642726" w:rsidRDefault="000F6B38" w:rsidP="000F6B38">
      <w:pPr>
        <w:autoSpaceDE w:val="0"/>
        <w:autoSpaceDN w:val="0"/>
        <w:adjustRightInd w:val="0"/>
        <w:jc w:val="left"/>
        <w:rPr>
          <w:rFonts w:cs="Times New Roman"/>
          <w:szCs w:val="24"/>
          <w:lang w:val="en-GB"/>
        </w:rPr>
      </w:pPr>
      <w:proofErr w:type="spellStart"/>
      <w:r w:rsidRPr="00642726">
        <w:rPr>
          <w:rFonts w:cs="Times New Roman"/>
          <w:szCs w:val="24"/>
          <w:lang w:val="en-GB"/>
        </w:rPr>
        <w:t>Jagannathan</w:t>
      </w:r>
      <w:proofErr w:type="spellEnd"/>
      <w:r w:rsidRPr="00642726">
        <w:rPr>
          <w:rFonts w:cs="Times New Roman"/>
          <w:szCs w:val="24"/>
          <w:lang w:val="en-GB"/>
        </w:rPr>
        <w:t xml:space="preserve">, </w:t>
      </w:r>
      <w:r w:rsidR="00291296" w:rsidRPr="00642726">
        <w:rPr>
          <w:rFonts w:cs="Times New Roman"/>
          <w:szCs w:val="24"/>
          <w:lang w:val="en-GB"/>
        </w:rPr>
        <w:t>R.</w:t>
      </w:r>
      <w:r w:rsidRPr="00642726">
        <w:rPr>
          <w:rFonts w:cs="Times New Roman"/>
          <w:szCs w:val="24"/>
          <w:lang w:val="en-GB"/>
        </w:rPr>
        <w:t xml:space="preserve"> and T</w:t>
      </w:r>
      <w:r w:rsidR="00C70D3A" w:rsidRPr="00642726">
        <w:rPr>
          <w:rFonts w:cs="Times New Roman"/>
          <w:szCs w:val="24"/>
          <w:lang w:val="en-GB"/>
        </w:rPr>
        <w:t>.</w:t>
      </w:r>
      <w:r w:rsidRPr="00642726">
        <w:rPr>
          <w:rFonts w:cs="Times New Roman"/>
          <w:szCs w:val="24"/>
          <w:lang w:val="en-GB"/>
        </w:rPr>
        <w:t xml:space="preserve"> Ma, 2003, </w:t>
      </w:r>
      <w:r w:rsidR="00C70D3A" w:rsidRPr="00642726">
        <w:rPr>
          <w:rFonts w:cs="Times New Roman"/>
          <w:szCs w:val="24"/>
          <w:lang w:val="en-GB"/>
        </w:rPr>
        <w:t>“</w:t>
      </w:r>
      <w:r w:rsidRPr="00642726">
        <w:rPr>
          <w:rFonts w:cs="Times New Roman"/>
          <w:szCs w:val="24"/>
          <w:lang w:val="en-GB"/>
        </w:rPr>
        <w:t>Risk reduction in large portfolios: Why imposing the wrong constraints helps</w:t>
      </w:r>
      <w:r w:rsidR="00C70D3A" w:rsidRPr="00642726">
        <w:rPr>
          <w:rFonts w:cs="Times New Roman"/>
          <w:szCs w:val="24"/>
          <w:lang w:val="en-GB"/>
        </w:rPr>
        <w:t>”, Journal of Finance 58, 1651-1684</w:t>
      </w:r>
      <w:r w:rsidRPr="00642726">
        <w:rPr>
          <w:rFonts w:cs="Times New Roman"/>
          <w:szCs w:val="24"/>
          <w:lang w:val="en-GB"/>
        </w:rPr>
        <w:t>.</w:t>
      </w:r>
    </w:p>
    <w:p w:rsidR="000F6B38" w:rsidRPr="00642726" w:rsidRDefault="000F6B38" w:rsidP="007603E4">
      <w:pPr>
        <w:autoSpaceDE w:val="0"/>
        <w:autoSpaceDN w:val="0"/>
        <w:adjustRightInd w:val="0"/>
        <w:ind w:firstLine="284"/>
        <w:rPr>
          <w:rFonts w:cs="Times New Roman"/>
          <w:szCs w:val="24"/>
          <w:highlight w:val="yellow"/>
          <w:lang w:val="en-GB"/>
        </w:rPr>
      </w:pPr>
    </w:p>
    <w:p w:rsidR="00DF75A8" w:rsidRPr="00642726" w:rsidRDefault="00DF75A8" w:rsidP="00642726">
      <w:pPr>
        <w:autoSpaceDE w:val="0"/>
        <w:autoSpaceDN w:val="0"/>
        <w:adjustRightInd w:val="0"/>
        <w:rPr>
          <w:rFonts w:cs="Times New Roman"/>
          <w:szCs w:val="24"/>
          <w:lang w:val="en-GB"/>
        </w:rPr>
      </w:pPr>
      <w:proofErr w:type="spellStart"/>
      <w:r w:rsidRPr="00642726">
        <w:rPr>
          <w:rFonts w:cs="Times New Roman"/>
          <w:szCs w:val="24"/>
          <w:lang w:val="en-GB"/>
        </w:rPr>
        <w:t>Jorion</w:t>
      </w:r>
      <w:proofErr w:type="spellEnd"/>
      <w:r w:rsidR="00642726" w:rsidRPr="00642726">
        <w:rPr>
          <w:rFonts w:cs="Times New Roman"/>
          <w:szCs w:val="24"/>
          <w:lang w:val="en-GB"/>
        </w:rPr>
        <w:t>,</w:t>
      </w:r>
      <w:r w:rsidRPr="00642726">
        <w:rPr>
          <w:rFonts w:cs="Times New Roman"/>
          <w:szCs w:val="24"/>
          <w:lang w:val="en-GB"/>
        </w:rPr>
        <w:t xml:space="preserve"> P.,</w:t>
      </w:r>
      <w:r w:rsidR="00642726" w:rsidRPr="00642726">
        <w:rPr>
          <w:rFonts w:cs="Times New Roman"/>
          <w:szCs w:val="24"/>
          <w:lang w:val="en-GB"/>
        </w:rPr>
        <w:t xml:space="preserve"> 1985,</w:t>
      </w:r>
      <w:r w:rsidRPr="00642726">
        <w:rPr>
          <w:rFonts w:cs="Times New Roman"/>
          <w:szCs w:val="24"/>
          <w:lang w:val="en-GB"/>
        </w:rPr>
        <w:t xml:space="preserve"> </w:t>
      </w:r>
      <w:r w:rsidR="00642726" w:rsidRPr="00642726">
        <w:rPr>
          <w:rFonts w:cs="Times New Roman"/>
          <w:szCs w:val="24"/>
          <w:lang w:val="en-GB"/>
        </w:rPr>
        <w:t>“</w:t>
      </w:r>
      <w:r w:rsidRPr="00642726">
        <w:rPr>
          <w:rFonts w:cs="Times New Roman"/>
          <w:szCs w:val="24"/>
          <w:lang w:val="en-GB"/>
        </w:rPr>
        <w:t>International Portfolio Diversification with Estimation Risk</w:t>
      </w:r>
      <w:r w:rsidR="00642726" w:rsidRPr="00642726">
        <w:rPr>
          <w:rFonts w:cs="Times New Roman"/>
          <w:szCs w:val="24"/>
          <w:lang w:val="en-GB"/>
        </w:rPr>
        <w:t>”</w:t>
      </w:r>
      <w:r w:rsidRPr="00642726">
        <w:rPr>
          <w:rFonts w:cs="Times New Roman"/>
          <w:szCs w:val="24"/>
          <w:lang w:val="en-GB"/>
        </w:rPr>
        <w:t xml:space="preserve">, </w:t>
      </w:r>
      <w:r w:rsidR="00642726" w:rsidRPr="00642726">
        <w:rPr>
          <w:rFonts w:cs="Times New Roman"/>
          <w:iCs/>
          <w:szCs w:val="24"/>
          <w:lang w:val="en-GB"/>
        </w:rPr>
        <w:t xml:space="preserve">Journal of Business </w:t>
      </w:r>
      <w:r w:rsidR="00642726" w:rsidRPr="00642726">
        <w:rPr>
          <w:rFonts w:cs="Times New Roman"/>
          <w:szCs w:val="24"/>
          <w:lang w:val="en-GB"/>
        </w:rPr>
        <w:t>58(</w:t>
      </w:r>
      <w:r w:rsidRPr="00642726">
        <w:rPr>
          <w:rFonts w:cs="Times New Roman"/>
          <w:szCs w:val="24"/>
          <w:lang w:val="en-GB"/>
        </w:rPr>
        <w:t>3</w:t>
      </w:r>
      <w:r w:rsidR="00642726" w:rsidRPr="00642726">
        <w:rPr>
          <w:rFonts w:cs="Times New Roman"/>
          <w:szCs w:val="24"/>
          <w:lang w:val="en-GB"/>
        </w:rPr>
        <w:t>)</w:t>
      </w:r>
      <w:r w:rsidRPr="00642726">
        <w:rPr>
          <w:rFonts w:cs="Times New Roman"/>
          <w:szCs w:val="24"/>
          <w:lang w:val="en-GB"/>
        </w:rPr>
        <w:t>, 259-278.</w:t>
      </w:r>
    </w:p>
    <w:p w:rsidR="00DF75A8" w:rsidRPr="00903780" w:rsidRDefault="00DF75A8" w:rsidP="007603E4">
      <w:pPr>
        <w:autoSpaceDE w:val="0"/>
        <w:autoSpaceDN w:val="0"/>
        <w:adjustRightInd w:val="0"/>
        <w:ind w:firstLine="284"/>
        <w:rPr>
          <w:rFonts w:cs="Times New Roman"/>
          <w:sz w:val="20"/>
          <w:szCs w:val="20"/>
          <w:highlight w:val="yellow"/>
          <w:lang w:val="en-GB"/>
        </w:rPr>
      </w:pPr>
    </w:p>
    <w:p w:rsidR="00BB2C4E" w:rsidRPr="00BB2C4E" w:rsidRDefault="00BB2C4E" w:rsidP="00BB2C4E">
      <w:pPr>
        <w:jc w:val="left"/>
        <w:rPr>
          <w:rFonts w:cs="Times New Roman"/>
          <w:szCs w:val="24"/>
          <w:lang w:val="en-GB"/>
        </w:rPr>
      </w:pPr>
      <w:r w:rsidRPr="00BB2C4E">
        <w:rPr>
          <w:rFonts w:cs="Times New Roman"/>
          <w:szCs w:val="24"/>
          <w:lang w:val="en-GB"/>
        </w:rPr>
        <w:t xml:space="preserve">KNF 2012, </w:t>
      </w:r>
      <w:proofErr w:type="spellStart"/>
      <w:r w:rsidRPr="00BB2C4E">
        <w:rPr>
          <w:rFonts w:cs="Times New Roman"/>
          <w:szCs w:val="24"/>
          <w:lang w:val="en-GB"/>
        </w:rPr>
        <w:t>Rynek</w:t>
      </w:r>
      <w:proofErr w:type="spellEnd"/>
      <w:r w:rsidRPr="00BB2C4E">
        <w:rPr>
          <w:rFonts w:cs="Times New Roman"/>
          <w:szCs w:val="24"/>
          <w:lang w:val="en-GB"/>
        </w:rPr>
        <w:t xml:space="preserve"> </w:t>
      </w:r>
      <w:proofErr w:type="spellStart"/>
      <w:r w:rsidRPr="00BB2C4E">
        <w:rPr>
          <w:rFonts w:cs="Times New Roman"/>
          <w:szCs w:val="24"/>
          <w:lang w:val="en-GB"/>
        </w:rPr>
        <w:t>emerytalny</w:t>
      </w:r>
      <w:proofErr w:type="spellEnd"/>
      <w:r w:rsidRPr="00BB2C4E">
        <w:rPr>
          <w:rFonts w:cs="Times New Roman"/>
          <w:szCs w:val="24"/>
          <w:lang w:val="en-GB"/>
        </w:rPr>
        <w:t xml:space="preserve">, </w:t>
      </w:r>
      <w:hyperlink r:id="rId9" w:history="1">
        <w:r w:rsidRPr="00BB2C4E">
          <w:rPr>
            <w:rStyle w:val="Hipercze"/>
            <w:rFonts w:cs="Times New Roman"/>
            <w:szCs w:val="24"/>
            <w:lang w:val="en-GB"/>
          </w:rPr>
          <w:t>http://www.knf.gov.pl/opracowania/rynek_emerytalny/index.html</w:t>
        </w:r>
      </w:hyperlink>
      <w:r w:rsidRPr="00BB2C4E">
        <w:rPr>
          <w:rFonts w:cs="Times New Roman"/>
          <w:szCs w:val="24"/>
          <w:lang w:val="en-GB"/>
        </w:rPr>
        <w:t xml:space="preserve">, </w:t>
      </w:r>
      <w:r w:rsidRPr="00CC30AF">
        <w:rPr>
          <w:rFonts w:cs="Times New Roman"/>
          <w:szCs w:val="24"/>
          <w:lang w:val="en-GB"/>
        </w:rPr>
        <w:t>(access on 20th July 2012).</w:t>
      </w:r>
    </w:p>
    <w:p w:rsidR="00BB2C4E" w:rsidRPr="00BB2C4E" w:rsidRDefault="00BB2C4E" w:rsidP="006D477F">
      <w:pPr>
        <w:rPr>
          <w:rFonts w:cs="Times New Roman"/>
          <w:szCs w:val="24"/>
          <w:lang w:val="en-GB"/>
        </w:rPr>
      </w:pPr>
    </w:p>
    <w:p w:rsidR="006D477F" w:rsidRPr="00043416" w:rsidRDefault="006D477F" w:rsidP="006D477F">
      <w:pPr>
        <w:rPr>
          <w:rFonts w:cs="Times New Roman"/>
          <w:szCs w:val="24"/>
          <w:lang w:val="en-GB"/>
        </w:rPr>
      </w:pPr>
      <w:r w:rsidRPr="00134A6F">
        <w:rPr>
          <w:rFonts w:cs="Times New Roman"/>
          <w:szCs w:val="24"/>
          <w:lang w:val="en-GB"/>
        </w:rPr>
        <w:t xml:space="preserve">Kurach, R.,  2011. </w:t>
      </w:r>
      <w:r w:rsidRPr="00043416">
        <w:rPr>
          <w:rFonts w:cs="Times New Roman"/>
          <w:szCs w:val="24"/>
          <w:lang w:val="en-GB"/>
        </w:rPr>
        <w:t xml:space="preserve">“Stock Market Integration in Central and Eastern Europe”, </w:t>
      </w:r>
      <w:proofErr w:type="spellStart"/>
      <w:r w:rsidRPr="00043416">
        <w:rPr>
          <w:rFonts w:cs="Times New Roman"/>
          <w:szCs w:val="24"/>
          <w:lang w:val="en-GB"/>
        </w:rPr>
        <w:t>Ekonomia</w:t>
      </w:r>
      <w:proofErr w:type="spellEnd"/>
      <w:r w:rsidRPr="00043416">
        <w:rPr>
          <w:rFonts w:cs="Times New Roman"/>
          <w:szCs w:val="24"/>
          <w:lang w:val="en-GB"/>
        </w:rPr>
        <w:t xml:space="preserve"> </w:t>
      </w:r>
      <w:r w:rsidR="00642726" w:rsidRPr="00043416">
        <w:rPr>
          <w:rFonts w:cs="Times New Roman"/>
          <w:szCs w:val="24"/>
          <w:lang w:val="en-GB"/>
        </w:rPr>
        <w:t>14</w:t>
      </w:r>
      <w:r w:rsidRPr="00043416">
        <w:rPr>
          <w:rFonts w:cs="Times New Roman"/>
          <w:szCs w:val="24"/>
          <w:lang w:val="en-GB"/>
        </w:rPr>
        <w:t>(2), 78-87.</w:t>
      </w:r>
    </w:p>
    <w:p w:rsidR="006D477F" w:rsidRPr="00043416" w:rsidRDefault="006D477F" w:rsidP="007603E4">
      <w:pPr>
        <w:autoSpaceDE w:val="0"/>
        <w:autoSpaceDN w:val="0"/>
        <w:adjustRightInd w:val="0"/>
        <w:ind w:firstLine="284"/>
        <w:rPr>
          <w:rFonts w:cs="Times New Roman"/>
          <w:sz w:val="20"/>
          <w:szCs w:val="20"/>
          <w:lang w:val="en-GB"/>
        </w:rPr>
      </w:pPr>
    </w:p>
    <w:p w:rsidR="000F6B38" w:rsidRPr="00043416" w:rsidRDefault="000F6B38" w:rsidP="00DF75A8">
      <w:pPr>
        <w:autoSpaceDE w:val="0"/>
        <w:autoSpaceDN w:val="0"/>
        <w:adjustRightInd w:val="0"/>
        <w:rPr>
          <w:rFonts w:cs="Times New Roman"/>
          <w:sz w:val="20"/>
          <w:szCs w:val="20"/>
          <w:lang w:val="en-GB"/>
        </w:rPr>
      </w:pPr>
    </w:p>
    <w:p w:rsidR="007603E4" w:rsidRPr="00043416" w:rsidRDefault="007603E4" w:rsidP="00AB1440">
      <w:pPr>
        <w:rPr>
          <w:rFonts w:cs="Times New Roman"/>
          <w:szCs w:val="24"/>
          <w:lang w:val="en-GB"/>
        </w:rPr>
      </w:pPr>
      <w:r w:rsidRPr="00043416">
        <w:rPr>
          <w:rFonts w:cs="Times New Roman"/>
          <w:szCs w:val="24"/>
          <w:lang w:val="en-GB"/>
        </w:rPr>
        <w:t>Levy</w:t>
      </w:r>
      <w:r w:rsidR="00AB1440" w:rsidRPr="00043416">
        <w:rPr>
          <w:rFonts w:cs="Times New Roman"/>
          <w:szCs w:val="24"/>
          <w:lang w:val="en-GB"/>
        </w:rPr>
        <w:t>, H. and</w:t>
      </w:r>
      <w:r w:rsidRPr="00043416">
        <w:rPr>
          <w:rFonts w:cs="Times New Roman"/>
          <w:szCs w:val="24"/>
          <w:lang w:val="en-GB"/>
        </w:rPr>
        <w:t xml:space="preserve"> </w:t>
      </w:r>
      <w:r w:rsidR="00AB1440" w:rsidRPr="00043416">
        <w:rPr>
          <w:rFonts w:cs="Times New Roman"/>
          <w:szCs w:val="24"/>
          <w:lang w:val="en-GB"/>
        </w:rPr>
        <w:t xml:space="preserve">M. </w:t>
      </w:r>
      <w:proofErr w:type="spellStart"/>
      <w:r w:rsidRPr="00043416">
        <w:rPr>
          <w:rFonts w:cs="Times New Roman"/>
          <w:szCs w:val="24"/>
          <w:lang w:val="en-GB"/>
        </w:rPr>
        <w:t>Sarnat</w:t>
      </w:r>
      <w:proofErr w:type="spellEnd"/>
      <w:r w:rsidRPr="00043416">
        <w:rPr>
          <w:rFonts w:cs="Times New Roman"/>
          <w:szCs w:val="24"/>
          <w:lang w:val="en-GB"/>
        </w:rPr>
        <w:t>,</w:t>
      </w:r>
      <w:r w:rsidR="00AB1440" w:rsidRPr="00043416">
        <w:rPr>
          <w:rFonts w:cs="Times New Roman"/>
          <w:szCs w:val="24"/>
          <w:lang w:val="en-GB"/>
        </w:rPr>
        <w:t xml:space="preserve"> 1970,</w:t>
      </w:r>
      <w:r w:rsidRPr="00043416">
        <w:rPr>
          <w:rFonts w:cs="Times New Roman"/>
          <w:szCs w:val="24"/>
          <w:lang w:val="en-GB"/>
        </w:rPr>
        <w:t xml:space="preserve"> </w:t>
      </w:r>
      <w:r w:rsidR="00AB1440" w:rsidRPr="00043416">
        <w:rPr>
          <w:rFonts w:cs="Times New Roman"/>
          <w:szCs w:val="24"/>
          <w:lang w:val="en-GB"/>
        </w:rPr>
        <w:t>“</w:t>
      </w:r>
      <w:r w:rsidRPr="00043416">
        <w:rPr>
          <w:rFonts w:cs="Times New Roman"/>
          <w:szCs w:val="24"/>
          <w:lang w:val="en-GB"/>
        </w:rPr>
        <w:t>International Diversification of Investment Portfolios</w:t>
      </w:r>
      <w:r w:rsidR="00AB1440" w:rsidRPr="00043416">
        <w:rPr>
          <w:rFonts w:cs="Times New Roman"/>
          <w:szCs w:val="24"/>
          <w:lang w:val="en-GB"/>
        </w:rPr>
        <w:t>”</w:t>
      </w:r>
      <w:r w:rsidRPr="00043416">
        <w:rPr>
          <w:rFonts w:cs="Times New Roman"/>
          <w:szCs w:val="24"/>
          <w:lang w:val="en-GB"/>
        </w:rPr>
        <w:t xml:space="preserve">, </w:t>
      </w:r>
      <w:r w:rsidR="00AB1440" w:rsidRPr="00043416">
        <w:rPr>
          <w:rFonts w:cs="Times New Roman"/>
          <w:szCs w:val="24"/>
          <w:lang w:val="en-GB"/>
        </w:rPr>
        <w:t>The American Economic Review 60(</w:t>
      </w:r>
      <w:r w:rsidRPr="00043416">
        <w:rPr>
          <w:rFonts w:cs="Times New Roman"/>
          <w:szCs w:val="24"/>
          <w:lang w:val="en-GB"/>
        </w:rPr>
        <w:t>4</w:t>
      </w:r>
      <w:r w:rsidR="00AB1440" w:rsidRPr="00043416">
        <w:rPr>
          <w:rFonts w:cs="Times New Roman"/>
          <w:szCs w:val="24"/>
          <w:lang w:val="en-GB"/>
        </w:rPr>
        <w:t xml:space="preserve">), </w:t>
      </w:r>
      <w:r w:rsidRPr="00043416">
        <w:rPr>
          <w:rFonts w:cs="Times New Roman"/>
          <w:szCs w:val="24"/>
          <w:lang w:val="en-GB"/>
        </w:rPr>
        <w:t>668-675.</w:t>
      </w:r>
    </w:p>
    <w:p w:rsidR="006B54D6" w:rsidRPr="00043416" w:rsidRDefault="006B54D6" w:rsidP="00145EA6">
      <w:pPr>
        <w:autoSpaceDE w:val="0"/>
        <w:autoSpaceDN w:val="0"/>
        <w:adjustRightInd w:val="0"/>
        <w:jc w:val="left"/>
        <w:rPr>
          <w:rFonts w:cs="Times New Roman"/>
          <w:szCs w:val="24"/>
          <w:lang w:val="en-GB"/>
        </w:rPr>
      </w:pPr>
    </w:p>
    <w:p w:rsidR="00DF75A8" w:rsidRPr="00043416" w:rsidRDefault="00DF75A8" w:rsidP="00043416">
      <w:pPr>
        <w:rPr>
          <w:rFonts w:cs="Times New Roman"/>
          <w:szCs w:val="24"/>
          <w:lang w:val="en-GB"/>
        </w:rPr>
      </w:pPr>
      <w:r w:rsidRPr="00043416">
        <w:rPr>
          <w:rFonts w:cs="Times New Roman"/>
          <w:szCs w:val="24"/>
          <w:lang w:val="en-GB"/>
        </w:rPr>
        <w:t>Merton</w:t>
      </w:r>
      <w:r w:rsidR="00043416" w:rsidRPr="00043416">
        <w:rPr>
          <w:rFonts w:cs="Times New Roman"/>
          <w:szCs w:val="24"/>
          <w:lang w:val="en-GB"/>
        </w:rPr>
        <w:t>,</w:t>
      </w:r>
      <w:r w:rsidRPr="00043416">
        <w:rPr>
          <w:rFonts w:cs="Times New Roman"/>
          <w:szCs w:val="24"/>
          <w:lang w:val="en-GB"/>
        </w:rPr>
        <w:t xml:space="preserve"> R., </w:t>
      </w:r>
      <w:r w:rsidR="00043416" w:rsidRPr="00043416">
        <w:rPr>
          <w:rFonts w:cs="Times New Roman"/>
          <w:szCs w:val="24"/>
          <w:lang w:val="en-GB"/>
        </w:rPr>
        <w:t>1980, “</w:t>
      </w:r>
      <w:r w:rsidRPr="00043416">
        <w:rPr>
          <w:rFonts w:cs="Times New Roman"/>
          <w:szCs w:val="24"/>
          <w:lang w:val="en-GB"/>
        </w:rPr>
        <w:t>On Estimating the Expected Return on the Market: An Exploratory Investigation</w:t>
      </w:r>
      <w:r w:rsidR="00043416" w:rsidRPr="00043416">
        <w:rPr>
          <w:rFonts w:cs="Times New Roman"/>
          <w:szCs w:val="24"/>
          <w:lang w:val="en-GB"/>
        </w:rPr>
        <w:t>”</w:t>
      </w:r>
      <w:r w:rsidRPr="00043416">
        <w:rPr>
          <w:rFonts w:cs="Times New Roman"/>
          <w:szCs w:val="24"/>
          <w:lang w:val="en-GB"/>
        </w:rPr>
        <w:t xml:space="preserve">, </w:t>
      </w:r>
      <w:r w:rsidRPr="00043416">
        <w:rPr>
          <w:rFonts w:cs="Times New Roman"/>
          <w:iCs/>
          <w:szCs w:val="24"/>
          <w:lang w:val="en-GB"/>
        </w:rPr>
        <w:t>Journal of Financial Economics</w:t>
      </w:r>
      <w:r w:rsidR="00043416" w:rsidRPr="00043416">
        <w:rPr>
          <w:rFonts w:cs="Times New Roman"/>
          <w:iCs/>
          <w:szCs w:val="24"/>
          <w:lang w:val="en-GB"/>
        </w:rPr>
        <w:t xml:space="preserve"> </w:t>
      </w:r>
      <w:r w:rsidR="00043416" w:rsidRPr="00043416">
        <w:rPr>
          <w:rFonts w:cs="Times New Roman"/>
          <w:szCs w:val="24"/>
          <w:lang w:val="en-GB"/>
        </w:rPr>
        <w:t>8(</w:t>
      </w:r>
      <w:r w:rsidRPr="00043416">
        <w:rPr>
          <w:rFonts w:cs="Times New Roman"/>
          <w:szCs w:val="24"/>
          <w:lang w:val="en-GB"/>
        </w:rPr>
        <w:t>3</w:t>
      </w:r>
      <w:r w:rsidR="00043416" w:rsidRPr="00043416">
        <w:rPr>
          <w:rFonts w:cs="Times New Roman"/>
          <w:szCs w:val="24"/>
          <w:lang w:val="en-GB"/>
        </w:rPr>
        <w:t xml:space="preserve">), </w:t>
      </w:r>
      <w:r w:rsidRPr="00043416">
        <w:rPr>
          <w:rFonts w:cs="Times New Roman"/>
          <w:szCs w:val="24"/>
          <w:lang w:val="en-GB"/>
        </w:rPr>
        <w:t>323-361.</w:t>
      </w:r>
    </w:p>
    <w:p w:rsidR="00DF75A8" w:rsidRPr="00642726" w:rsidRDefault="00DF75A8" w:rsidP="00145EA6">
      <w:pPr>
        <w:autoSpaceDE w:val="0"/>
        <w:autoSpaceDN w:val="0"/>
        <w:adjustRightInd w:val="0"/>
        <w:jc w:val="left"/>
        <w:rPr>
          <w:rFonts w:cs="Times New Roman"/>
          <w:szCs w:val="24"/>
          <w:highlight w:val="yellow"/>
          <w:lang w:val="en-GB"/>
        </w:rPr>
      </w:pPr>
    </w:p>
    <w:p w:rsidR="00BB2C4E" w:rsidRDefault="00BB2C4E" w:rsidP="00BB2C4E">
      <w:pPr>
        <w:jc w:val="left"/>
        <w:rPr>
          <w:rFonts w:cs="Times New Roman"/>
          <w:szCs w:val="24"/>
          <w:lang w:val="en-GB"/>
        </w:rPr>
      </w:pPr>
      <w:r>
        <w:rPr>
          <w:rFonts w:cs="Times New Roman"/>
          <w:szCs w:val="24"/>
          <w:lang w:val="en-GB"/>
        </w:rPr>
        <w:t xml:space="preserve">MSCI, 2012, MSCI </w:t>
      </w:r>
      <w:r w:rsidRPr="00BB2C4E">
        <w:rPr>
          <w:rFonts w:cs="Times New Roman"/>
          <w:szCs w:val="24"/>
          <w:lang w:val="en-GB"/>
        </w:rPr>
        <w:t>Index Definitions</w:t>
      </w:r>
      <w:r w:rsidRPr="00CC30AF">
        <w:rPr>
          <w:rFonts w:cs="Times New Roman"/>
          <w:szCs w:val="24"/>
          <w:lang w:val="en-GB"/>
        </w:rPr>
        <w:t xml:space="preserve"> </w:t>
      </w:r>
      <w:r>
        <w:rPr>
          <w:rFonts w:cs="Times New Roman"/>
          <w:szCs w:val="24"/>
          <w:lang w:val="en-GB"/>
        </w:rPr>
        <w:t xml:space="preserve">, </w:t>
      </w:r>
      <w:hyperlink r:id="rId10" w:history="1">
        <w:r w:rsidRPr="000F62EC">
          <w:rPr>
            <w:rStyle w:val="Hipercze"/>
            <w:rFonts w:cs="Times New Roman"/>
            <w:szCs w:val="24"/>
            <w:lang w:val="en-GB"/>
          </w:rPr>
          <w:t>http://www.msci.com/products/indices/tools/index.htm</w:t>
        </w:r>
        <w:r w:rsidRPr="000F62EC">
          <w:rPr>
            <w:rStyle w:val="Hipercze"/>
            <w:szCs w:val="24"/>
            <w:lang w:val="en-GB"/>
          </w:rPr>
          <w:t>l</w:t>
        </w:r>
      </w:hyperlink>
      <w:r>
        <w:rPr>
          <w:rFonts w:cs="Times New Roman"/>
          <w:szCs w:val="24"/>
          <w:lang w:val="en-GB"/>
        </w:rPr>
        <w:t xml:space="preserve">, </w:t>
      </w:r>
      <w:r w:rsidRPr="00CC30AF">
        <w:rPr>
          <w:rFonts w:cs="Times New Roman"/>
          <w:szCs w:val="24"/>
          <w:lang w:val="en-GB"/>
        </w:rPr>
        <w:t>(access on 20th July 2012).</w:t>
      </w:r>
    </w:p>
    <w:p w:rsidR="00BB2C4E" w:rsidRDefault="00BB2C4E" w:rsidP="003943C1">
      <w:pPr>
        <w:rPr>
          <w:rFonts w:cs="Times New Roman"/>
          <w:szCs w:val="24"/>
          <w:lang w:val="en-GB"/>
        </w:rPr>
      </w:pPr>
    </w:p>
    <w:p w:rsidR="007603E4" w:rsidRPr="000653F1" w:rsidRDefault="007603E4" w:rsidP="003943C1">
      <w:pPr>
        <w:rPr>
          <w:rFonts w:cs="Times New Roman"/>
          <w:szCs w:val="24"/>
          <w:lang w:val="en-GB"/>
        </w:rPr>
      </w:pPr>
      <w:proofErr w:type="spellStart"/>
      <w:r w:rsidRPr="000653F1">
        <w:rPr>
          <w:rFonts w:cs="Times New Roman"/>
          <w:szCs w:val="24"/>
          <w:lang w:val="en-GB"/>
        </w:rPr>
        <w:t>Niemczak</w:t>
      </w:r>
      <w:proofErr w:type="spellEnd"/>
      <w:r w:rsidR="003943C1" w:rsidRPr="000653F1">
        <w:rPr>
          <w:rFonts w:cs="Times New Roman"/>
          <w:szCs w:val="24"/>
          <w:lang w:val="en-GB"/>
        </w:rPr>
        <w:t>,</w:t>
      </w:r>
      <w:r w:rsidRPr="000653F1">
        <w:rPr>
          <w:rFonts w:cs="Times New Roman"/>
          <w:szCs w:val="24"/>
          <w:lang w:val="en-GB"/>
        </w:rPr>
        <w:t xml:space="preserve"> K.,</w:t>
      </w:r>
      <w:r w:rsidR="003943C1" w:rsidRPr="000653F1">
        <w:rPr>
          <w:rFonts w:cs="Times New Roman"/>
          <w:szCs w:val="24"/>
          <w:lang w:val="en-GB"/>
        </w:rPr>
        <w:t xml:space="preserve"> 2010,</w:t>
      </w:r>
      <w:r w:rsidRPr="000653F1">
        <w:rPr>
          <w:rFonts w:cs="Times New Roman"/>
          <w:szCs w:val="24"/>
          <w:lang w:val="en-GB"/>
        </w:rPr>
        <w:t xml:space="preserve"> </w:t>
      </w:r>
      <w:r w:rsidR="003943C1" w:rsidRPr="000653F1">
        <w:rPr>
          <w:rFonts w:cs="Times New Roman"/>
          <w:szCs w:val="24"/>
          <w:lang w:val="en-GB"/>
        </w:rPr>
        <w:t>“</w:t>
      </w:r>
      <w:r w:rsidRPr="000653F1">
        <w:rPr>
          <w:rFonts w:cs="Times New Roman"/>
          <w:szCs w:val="24"/>
          <w:lang w:val="en-GB"/>
        </w:rPr>
        <w:t>Eastern European Equity Markets and the Subprime Crisis. Does Emerging Europe Still Offer Diversification Benefits?</w:t>
      </w:r>
      <w:r w:rsidR="003943C1" w:rsidRPr="000653F1">
        <w:rPr>
          <w:rFonts w:cs="Times New Roman"/>
          <w:szCs w:val="24"/>
          <w:lang w:val="en-GB"/>
        </w:rPr>
        <w:t>”</w:t>
      </w:r>
      <w:r w:rsidRPr="000653F1">
        <w:rPr>
          <w:rFonts w:cs="Times New Roman"/>
          <w:szCs w:val="24"/>
          <w:lang w:val="en-GB"/>
        </w:rPr>
        <w:t xml:space="preserve">, </w:t>
      </w:r>
      <w:r w:rsidR="003943C1" w:rsidRPr="000653F1">
        <w:rPr>
          <w:rFonts w:cs="Times New Roman"/>
          <w:szCs w:val="24"/>
          <w:lang w:val="en-GB"/>
        </w:rPr>
        <w:t>e-</w:t>
      </w:r>
      <w:proofErr w:type="spellStart"/>
      <w:r w:rsidR="003943C1" w:rsidRPr="000653F1">
        <w:rPr>
          <w:rFonts w:cs="Times New Roman"/>
          <w:szCs w:val="24"/>
          <w:lang w:val="en-GB"/>
        </w:rPr>
        <w:t>Finanse</w:t>
      </w:r>
      <w:proofErr w:type="spellEnd"/>
      <w:r w:rsidR="003943C1" w:rsidRPr="000653F1">
        <w:rPr>
          <w:rFonts w:cs="Times New Roman"/>
          <w:szCs w:val="24"/>
          <w:lang w:val="en-GB"/>
        </w:rPr>
        <w:t xml:space="preserve"> 6(</w:t>
      </w:r>
      <w:r w:rsidRPr="000653F1">
        <w:rPr>
          <w:rFonts w:cs="Times New Roman"/>
          <w:szCs w:val="24"/>
          <w:lang w:val="en-GB"/>
        </w:rPr>
        <w:t>3</w:t>
      </w:r>
      <w:r w:rsidR="003943C1" w:rsidRPr="000653F1">
        <w:rPr>
          <w:rFonts w:cs="Times New Roman"/>
          <w:szCs w:val="24"/>
          <w:lang w:val="en-GB"/>
        </w:rPr>
        <w:t xml:space="preserve">), </w:t>
      </w:r>
      <w:r w:rsidRPr="000653F1">
        <w:rPr>
          <w:rFonts w:cs="Times New Roman"/>
          <w:szCs w:val="24"/>
          <w:lang w:val="en-GB"/>
        </w:rPr>
        <w:t>47-63.</w:t>
      </w:r>
    </w:p>
    <w:p w:rsidR="00C814AB" w:rsidRPr="000653F1" w:rsidRDefault="00C814AB" w:rsidP="00145EA6">
      <w:pPr>
        <w:autoSpaceDE w:val="0"/>
        <w:autoSpaceDN w:val="0"/>
        <w:adjustRightInd w:val="0"/>
        <w:jc w:val="left"/>
        <w:rPr>
          <w:rFonts w:cs="Times New Roman"/>
          <w:szCs w:val="24"/>
          <w:lang w:val="en-GB"/>
        </w:rPr>
      </w:pPr>
    </w:p>
    <w:p w:rsidR="00DF75A8" w:rsidRPr="000653F1" w:rsidRDefault="00DF75A8" w:rsidP="003943C1">
      <w:pPr>
        <w:rPr>
          <w:rFonts w:cs="Times New Roman"/>
          <w:szCs w:val="24"/>
          <w:lang w:val="en-GB"/>
        </w:rPr>
      </w:pPr>
      <w:proofErr w:type="spellStart"/>
      <w:r w:rsidRPr="000653F1">
        <w:rPr>
          <w:rFonts w:cs="Times New Roman"/>
          <w:szCs w:val="24"/>
          <w:lang w:val="en-GB"/>
        </w:rPr>
        <w:t>Petrella</w:t>
      </w:r>
      <w:proofErr w:type="spellEnd"/>
      <w:r w:rsidR="003943C1" w:rsidRPr="000653F1">
        <w:rPr>
          <w:rFonts w:cs="Times New Roman"/>
          <w:szCs w:val="24"/>
          <w:lang w:val="en-GB"/>
        </w:rPr>
        <w:t>,</w:t>
      </w:r>
      <w:r w:rsidRPr="000653F1">
        <w:rPr>
          <w:rFonts w:cs="Times New Roman"/>
          <w:szCs w:val="24"/>
          <w:lang w:val="en-GB"/>
        </w:rPr>
        <w:t xml:space="preserve"> G.,</w:t>
      </w:r>
      <w:r w:rsidR="003943C1" w:rsidRPr="000653F1">
        <w:rPr>
          <w:rFonts w:cs="Times New Roman"/>
          <w:szCs w:val="24"/>
          <w:lang w:val="en-GB"/>
        </w:rPr>
        <w:t xml:space="preserve"> 2005,</w:t>
      </w:r>
      <w:r w:rsidRPr="000653F1">
        <w:rPr>
          <w:rFonts w:cs="Times New Roman"/>
          <w:szCs w:val="24"/>
          <w:lang w:val="en-GB"/>
        </w:rPr>
        <w:t xml:space="preserve"> </w:t>
      </w:r>
      <w:r w:rsidR="003943C1" w:rsidRPr="000653F1">
        <w:rPr>
          <w:rFonts w:cs="Times New Roman"/>
          <w:szCs w:val="24"/>
          <w:lang w:val="en-GB"/>
        </w:rPr>
        <w:t>“</w:t>
      </w:r>
      <w:r w:rsidRPr="000653F1">
        <w:rPr>
          <w:rFonts w:cs="Times New Roman"/>
          <w:bCs/>
          <w:szCs w:val="24"/>
          <w:lang w:val="en-GB"/>
        </w:rPr>
        <w:t>Are Euro Area Small Cap Stocks an Asset Class? Evidence from Mean-Variance Spanning Tests</w:t>
      </w:r>
      <w:r w:rsidR="003943C1" w:rsidRPr="000653F1">
        <w:rPr>
          <w:rFonts w:cs="Times New Roman"/>
          <w:bCs/>
          <w:szCs w:val="24"/>
          <w:lang w:val="en-GB"/>
        </w:rPr>
        <w:t xml:space="preserve">”, </w:t>
      </w:r>
      <w:r w:rsidRPr="000653F1">
        <w:rPr>
          <w:rFonts w:cs="Times New Roman"/>
          <w:bCs/>
          <w:szCs w:val="24"/>
          <w:lang w:val="en-GB"/>
        </w:rPr>
        <w:t xml:space="preserve">European Financial Management </w:t>
      </w:r>
      <w:r w:rsidR="003943C1" w:rsidRPr="000653F1">
        <w:rPr>
          <w:rFonts w:cs="Times New Roman"/>
          <w:bCs/>
          <w:szCs w:val="24"/>
          <w:lang w:val="en-GB"/>
        </w:rPr>
        <w:t>11(</w:t>
      </w:r>
      <w:r w:rsidRPr="000653F1">
        <w:rPr>
          <w:rFonts w:cs="Times New Roman"/>
          <w:bCs/>
          <w:szCs w:val="24"/>
          <w:lang w:val="en-GB"/>
        </w:rPr>
        <w:t>2</w:t>
      </w:r>
      <w:r w:rsidR="003943C1" w:rsidRPr="000653F1">
        <w:rPr>
          <w:rFonts w:cs="Times New Roman"/>
          <w:bCs/>
          <w:szCs w:val="24"/>
          <w:lang w:val="en-GB"/>
        </w:rPr>
        <w:t>)</w:t>
      </w:r>
      <w:r w:rsidR="000653F1" w:rsidRPr="000653F1">
        <w:rPr>
          <w:rFonts w:cs="Times New Roman"/>
          <w:bCs/>
          <w:szCs w:val="24"/>
          <w:lang w:val="en-GB"/>
        </w:rPr>
        <w:t xml:space="preserve">, </w:t>
      </w:r>
      <w:r w:rsidRPr="000653F1">
        <w:rPr>
          <w:rFonts w:cs="Times New Roman"/>
          <w:bCs/>
          <w:szCs w:val="24"/>
          <w:lang w:val="en-GB"/>
        </w:rPr>
        <w:t>229-253.</w:t>
      </w:r>
    </w:p>
    <w:p w:rsidR="00DF75A8" w:rsidRPr="000653F1" w:rsidRDefault="00DF75A8" w:rsidP="00145EA6">
      <w:pPr>
        <w:autoSpaceDE w:val="0"/>
        <w:autoSpaceDN w:val="0"/>
        <w:adjustRightInd w:val="0"/>
        <w:jc w:val="left"/>
        <w:rPr>
          <w:rFonts w:cs="Times New Roman"/>
          <w:szCs w:val="24"/>
          <w:lang w:val="en-GB"/>
        </w:rPr>
      </w:pPr>
    </w:p>
    <w:p w:rsidR="00913215" w:rsidRPr="00CC30AF" w:rsidRDefault="00913215" w:rsidP="00913215">
      <w:pPr>
        <w:jc w:val="left"/>
        <w:rPr>
          <w:rFonts w:cs="Times New Roman"/>
          <w:szCs w:val="24"/>
          <w:lang w:val="en-GB"/>
        </w:rPr>
      </w:pPr>
      <w:proofErr w:type="spellStart"/>
      <w:r w:rsidRPr="00CC30AF">
        <w:rPr>
          <w:rFonts w:cs="Times New Roman"/>
          <w:szCs w:val="24"/>
          <w:lang w:val="en-GB"/>
        </w:rPr>
        <w:lastRenderedPageBreak/>
        <w:t>Popiołek</w:t>
      </w:r>
      <w:proofErr w:type="spellEnd"/>
      <w:r w:rsidRPr="00CC30AF">
        <w:rPr>
          <w:rFonts w:cs="Times New Roman"/>
          <w:szCs w:val="24"/>
          <w:lang w:val="en-GB"/>
        </w:rPr>
        <w:t>, A.</w:t>
      </w:r>
      <w:r w:rsidR="000653F1" w:rsidRPr="00CC30AF">
        <w:rPr>
          <w:rFonts w:cs="Times New Roman"/>
          <w:szCs w:val="24"/>
          <w:lang w:val="en-GB"/>
        </w:rPr>
        <w:t>, 2011,</w:t>
      </w:r>
      <w:r w:rsidRPr="00CC30AF">
        <w:rPr>
          <w:rFonts w:cs="Times New Roman"/>
          <w:szCs w:val="24"/>
          <w:lang w:val="en-GB"/>
        </w:rPr>
        <w:t xml:space="preserve"> “OFE </w:t>
      </w:r>
      <w:proofErr w:type="spellStart"/>
      <w:r w:rsidRPr="00CC30AF">
        <w:rPr>
          <w:rFonts w:cs="Times New Roman"/>
          <w:szCs w:val="24"/>
          <w:lang w:val="en-GB"/>
        </w:rPr>
        <w:t>nie</w:t>
      </w:r>
      <w:proofErr w:type="spellEnd"/>
      <w:r w:rsidRPr="00CC30AF">
        <w:rPr>
          <w:rFonts w:cs="Times New Roman"/>
          <w:szCs w:val="24"/>
          <w:lang w:val="en-GB"/>
        </w:rPr>
        <w:t xml:space="preserve"> </w:t>
      </w:r>
      <w:proofErr w:type="spellStart"/>
      <w:r w:rsidRPr="00CC30AF">
        <w:rPr>
          <w:rFonts w:cs="Times New Roman"/>
          <w:szCs w:val="24"/>
          <w:lang w:val="en-GB"/>
        </w:rPr>
        <w:t>chcą</w:t>
      </w:r>
      <w:proofErr w:type="spellEnd"/>
      <w:r w:rsidRPr="00CC30AF">
        <w:rPr>
          <w:rFonts w:cs="Times New Roman"/>
          <w:szCs w:val="24"/>
          <w:lang w:val="en-GB"/>
        </w:rPr>
        <w:t xml:space="preserve"> </w:t>
      </w:r>
      <w:proofErr w:type="spellStart"/>
      <w:r w:rsidRPr="00CC30AF">
        <w:rPr>
          <w:rFonts w:cs="Times New Roman"/>
          <w:szCs w:val="24"/>
          <w:lang w:val="en-GB"/>
        </w:rPr>
        <w:t>zwiększać</w:t>
      </w:r>
      <w:proofErr w:type="spellEnd"/>
      <w:r w:rsidRPr="00CC30AF">
        <w:rPr>
          <w:rFonts w:cs="Times New Roman"/>
          <w:szCs w:val="24"/>
          <w:lang w:val="en-GB"/>
        </w:rPr>
        <w:t xml:space="preserve"> </w:t>
      </w:r>
      <w:proofErr w:type="spellStart"/>
      <w:r w:rsidRPr="00CC30AF">
        <w:rPr>
          <w:rFonts w:cs="Times New Roman"/>
          <w:szCs w:val="24"/>
          <w:lang w:val="en-GB"/>
        </w:rPr>
        <w:t>inwestycji</w:t>
      </w:r>
      <w:proofErr w:type="spellEnd"/>
      <w:r w:rsidRPr="00CC30AF">
        <w:rPr>
          <w:rFonts w:cs="Times New Roman"/>
          <w:szCs w:val="24"/>
          <w:lang w:val="en-GB"/>
        </w:rPr>
        <w:t xml:space="preserve"> </w:t>
      </w:r>
      <w:proofErr w:type="spellStart"/>
      <w:r w:rsidRPr="00CC30AF">
        <w:rPr>
          <w:rFonts w:cs="Times New Roman"/>
          <w:szCs w:val="24"/>
          <w:lang w:val="en-GB"/>
        </w:rPr>
        <w:t>zagranicznych</w:t>
      </w:r>
      <w:proofErr w:type="spellEnd"/>
      <w:r w:rsidRPr="00CC30AF">
        <w:rPr>
          <w:rFonts w:cs="Times New Roman"/>
          <w:szCs w:val="24"/>
          <w:lang w:val="en-GB"/>
        </w:rPr>
        <w:t xml:space="preserve">”, press article published at wyborcza.biz on 27th Dec 2012, </w:t>
      </w:r>
      <w:hyperlink r:id="rId11" w:history="1">
        <w:r w:rsidRPr="00CC30AF">
          <w:rPr>
            <w:rStyle w:val="Hipercze"/>
            <w:rFonts w:cs="Times New Roman"/>
            <w:szCs w:val="24"/>
            <w:lang w:val="en-GB"/>
          </w:rPr>
          <w:t>http://wyborcza.biz/finanse/1,105684,10873023,OFE_nie_chca_zwiekszac_inwestycji_zagranicznych.html</w:t>
        </w:r>
      </w:hyperlink>
      <w:r w:rsidRPr="00CC30AF">
        <w:rPr>
          <w:rFonts w:cs="Times New Roman"/>
          <w:szCs w:val="24"/>
          <w:lang w:val="en-GB"/>
        </w:rPr>
        <w:t xml:space="preserve"> (access on </w:t>
      </w:r>
      <w:r w:rsidR="000653F1" w:rsidRPr="00CC30AF">
        <w:rPr>
          <w:rFonts w:cs="Times New Roman"/>
          <w:szCs w:val="24"/>
          <w:lang w:val="en-GB"/>
        </w:rPr>
        <w:t>20th July</w:t>
      </w:r>
      <w:r w:rsidRPr="00CC30AF">
        <w:rPr>
          <w:rFonts w:cs="Times New Roman"/>
          <w:szCs w:val="24"/>
          <w:lang w:val="en-GB"/>
        </w:rPr>
        <w:t xml:space="preserve"> 2012).</w:t>
      </w:r>
    </w:p>
    <w:p w:rsidR="00DF75A8" w:rsidRPr="00CC30AF" w:rsidRDefault="00DF75A8" w:rsidP="00145EA6">
      <w:pPr>
        <w:autoSpaceDE w:val="0"/>
        <w:autoSpaceDN w:val="0"/>
        <w:adjustRightInd w:val="0"/>
        <w:jc w:val="left"/>
        <w:rPr>
          <w:rFonts w:cs="Times New Roman"/>
          <w:szCs w:val="24"/>
          <w:lang w:val="en-GB"/>
        </w:rPr>
      </w:pPr>
    </w:p>
    <w:p w:rsidR="00913215" w:rsidRPr="00CC30AF" w:rsidRDefault="00913215" w:rsidP="00145EA6">
      <w:pPr>
        <w:autoSpaceDE w:val="0"/>
        <w:autoSpaceDN w:val="0"/>
        <w:adjustRightInd w:val="0"/>
        <w:jc w:val="left"/>
        <w:rPr>
          <w:rFonts w:cs="Times New Roman"/>
          <w:szCs w:val="24"/>
          <w:highlight w:val="yellow"/>
          <w:lang w:val="en-GB"/>
        </w:rPr>
      </w:pPr>
    </w:p>
    <w:p w:rsidR="0058226A" w:rsidRPr="00747FB0" w:rsidRDefault="00747FB0" w:rsidP="0058226A">
      <w:pPr>
        <w:rPr>
          <w:rFonts w:cs="Times New Roman"/>
          <w:szCs w:val="24"/>
          <w:lang w:val="en-GB"/>
        </w:rPr>
      </w:pPr>
      <w:proofErr w:type="spellStart"/>
      <w:r w:rsidRPr="00747FB0">
        <w:rPr>
          <w:rFonts w:cs="Times New Roman"/>
          <w:szCs w:val="24"/>
          <w:lang w:val="en-GB"/>
        </w:rPr>
        <w:t>Roldos</w:t>
      </w:r>
      <w:proofErr w:type="spellEnd"/>
      <w:r w:rsidRPr="00747FB0">
        <w:rPr>
          <w:rFonts w:cs="Times New Roman"/>
          <w:szCs w:val="24"/>
          <w:lang w:val="en-GB"/>
        </w:rPr>
        <w:t>, J., 2004,</w:t>
      </w:r>
      <w:r w:rsidR="0058226A" w:rsidRPr="00747FB0">
        <w:rPr>
          <w:rFonts w:cs="Times New Roman"/>
          <w:szCs w:val="24"/>
          <w:lang w:val="en-GB"/>
        </w:rPr>
        <w:t xml:space="preserve"> “Pension Reform, Investment Restrictions and Capital Markets”, IMF Policy Discussion Papers 04/4.</w:t>
      </w:r>
    </w:p>
    <w:p w:rsidR="0058226A" w:rsidRDefault="0058226A" w:rsidP="00145EA6">
      <w:pPr>
        <w:autoSpaceDE w:val="0"/>
        <w:autoSpaceDN w:val="0"/>
        <w:adjustRightInd w:val="0"/>
        <w:jc w:val="left"/>
        <w:rPr>
          <w:rFonts w:cs="Times New Roman"/>
          <w:szCs w:val="24"/>
          <w:lang w:val="en-GB"/>
        </w:rPr>
      </w:pPr>
    </w:p>
    <w:p w:rsidR="00166919" w:rsidRPr="00166919" w:rsidRDefault="00166919" w:rsidP="00166919">
      <w:pPr>
        <w:rPr>
          <w:bCs/>
          <w:color w:val="000000" w:themeColor="text1"/>
          <w:lang w:val="en-US"/>
        </w:rPr>
      </w:pPr>
      <w:r w:rsidRPr="00166919">
        <w:rPr>
          <w:color w:val="000000" w:themeColor="text1"/>
          <w:lang w:val="en-US"/>
        </w:rPr>
        <w:t xml:space="preserve">Rubens, J., </w:t>
      </w:r>
      <w:proofErr w:type="spellStart"/>
      <w:r w:rsidRPr="00166919">
        <w:rPr>
          <w:color w:val="000000" w:themeColor="text1"/>
          <w:lang w:val="en-US"/>
        </w:rPr>
        <w:t>Louton</w:t>
      </w:r>
      <w:proofErr w:type="spellEnd"/>
      <w:r w:rsidRPr="00166919">
        <w:rPr>
          <w:color w:val="000000" w:themeColor="text1"/>
          <w:lang w:val="en-US"/>
        </w:rPr>
        <w:t xml:space="preserve">, D. and E. </w:t>
      </w:r>
      <w:proofErr w:type="spellStart"/>
      <w:r w:rsidRPr="00166919">
        <w:rPr>
          <w:color w:val="000000" w:themeColor="text1"/>
          <w:lang w:val="en-US"/>
        </w:rPr>
        <w:t>Yobaccio</w:t>
      </w:r>
      <w:proofErr w:type="spellEnd"/>
      <w:r w:rsidRPr="00166919">
        <w:rPr>
          <w:color w:val="000000" w:themeColor="text1"/>
          <w:lang w:val="en-US"/>
        </w:rPr>
        <w:t xml:space="preserve">, 1998. </w:t>
      </w:r>
      <w:r w:rsidR="00716B66">
        <w:rPr>
          <w:color w:val="000000" w:themeColor="text1"/>
          <w:lang w:val="en-US"/>
        </w:rPr>
        <w:t>“</w:t>
      </w:r>
      <w:r w:rsidRPr="00166919">
        <w:rPr>
          <w:color w:val="000000" w:themeColor="text1"/>
          <w:lang w:val="en-US"/>
        </w:rPr>
        <w:t>Measuring the Significance of Diversification Gains</w:t>
      </w:r>
      <w:r w:rsidR="00716B66">
        <w:rPr>
          <w:color w:val="000000" w:themeColor="text1"/>
          <w:lang w:val="en-US"/>
        </w:rPr>
        <w:t>”</w:t>
      </w:r>
      <w:r w:rsidRPr="00166919">
        <w:rPr>
          <w:color w:val="000000" w:themeColor="text1"/>
          <w:lang w:val="en-US"/>
        </w:rPr>
        <w:t xml:space="preserve">, Journal of Real Estate Research </w:t>
      </w:r>
      <w:r>
        <w:rPr>
          <w:color w:val="000000" w:themeColor="text1"/>
          <w:lang w:val="en-US"/>
        </w:rPr>
        <w:t>16(1), 73-86.</w:t>
      </w:r>
    </w:p>
    <w:p w:rsidR="00166919" w:rsidRPr="00166919" w:rsidRDefault="00166919" w:rsidP="00145EA6">
      <w:pPr>
        <w:autoSpaceDE w:val="0"/>
        <w:autoSpaceDN w:val="0"/>
        <w:adjustRightInd w:val="0"/>
        <w:jc w:val="left"/>
        <w:rPr>
          <w:rFonts w:cs="Times New Roman"/>
          <w:szCs w:val="24"/>
          <w:lang w:val="en-US"/>
        </w:rPr>
      </w:pPr>
    </w:p>
    <w:p w:rsidR="006D477F" w:rsidRPr="00747FB0" w:rsidRDefault="006D477F" w:rsidP="006D477F">
      <w:pPr>
        <w:rPr>
          <w:rFonts w:cs="Times New Roman"/>
          <w:szCs w:val="24"/>
          <w:lang w:val="en-GB"/>
        </w:rPr>
      </w:pPr>
      <w:proofErr w:type="spellStart"/>
      <w:r w:rsidRPr="00747FB0">
        <w:rPr>
          <w:rFonts w:cs="Times New Roman"/>
          <w:szCs w:val="24"/>
          <w:lang w:val="en-GB"/>
        </w:rPr>
        <w:t>Sercu</w:t>
      </w:r>
      <w:proofErr w:type="spellEnd"/>
      <w:r w:rsidRPr="00747FB0">
        <w:rPr>
          <w:rFonts w:cs="Times New Roman"/>
          <w:szCs w:val="24"/>
          <w:lang w:val="en-GB"/>
        </w:rPr>
        <w:t xml:space="preserve">, P. and R., </w:t>
      </w:r>
      <w:proofErr w:type="spellStart"/>
      <w:r w:rsidRPr="00747FB0">
        <w:rPr>
          <w:rFonts w:cs="Times New Roman"/>
          <w:szCs w:val="24"/>
          <w:lang w:val="en-GB"/>
        </w:rPr>
        <w:t>Vanpee</w:t>
      </w:r>
      <w:proofErr w:type="spellEnd"/>
      <w:r w:rsidRPr="00747FB0">
        <w:rPr>
          <w:rFonts w:cs="Times New Roman"/>
          <w:szCs w:val="24"/>
          <w:lang w:val="en-GB"/>
        </w:rPr>
        <w:t xml:space="preserve">, 2007. “Home Bias in International Equity Portfolios: A Review”, Manuscript, </w:t>
      </w:r>
      <w:proofErr w:type="spellStart"/>
      <w:r w:rsidRPr="00747FB0">
        <w:rPr>
          <w:rFonts w:cs="Times New Roman"/>
          <w:szCs w:val="24"/>
          <w:lang w:val="en-GB"/>
        </w:rPr>
        <w:t>Katholieke</w:t>
      </w:r>
      <w:proofErr w:type="spellEnd"/>
      <w:r w:rsidRPr="00747FB0">
        <w:rPr>
          <w:rFonts w:cs="Times New Roman"/>
          <w:szCs w:val="24"/>
          <w:lang w:val="en-GB"/>
        </w:rPr>
        <w:t xml:space="preserve"> </w:t>
      </w:r>
      <w:proofErr w:type="spellStart"/>
      <w:r w:rsidRPr="00747FB0">
        <w:rPr>
          <w:rFonts w:cs="Times New Roman"/>
          <w:szCs w:val="24"/>
          <w:lang w:val="en-GB"/>
        </w:rPr>
        <w:t>Universiteit</w:t>
      </w:r>
      <w:proofErr w:type="spellEnd"/>
      <w:r w:rsidRPr="00747FB0">
        <w:rPr>
          <w:rFonts w:cs="Times New Roman"/>
          <w:szCs w:val="24"/>
          <w:lang w:val="en-GB"/>
        </w:rPr>
        <w:t xml:space="preserve"> Leuven.</w:t>
      </w:r>
    </w:p>
    <w:p w:rsidR="006D477F" w:rsidRPr="00747FB0" w:rsidRDefault="006D477F" w:rsidP="00145EA6">
      <w:pPr>
        <w:autoSpaceDE w:val="0"/>
        <w:autoSpaceDN w:val="0"/>
        <w:adjustRightInd w:val="0"/>
        <w:jc w:val="left"/>
        <w:rPr>
          <w:rFonts w:cs="Times New Roman"/>
          <w:szCs w:val="24"/>
          <w:lang w:val="en-GB"/>
        </w:rPr>
      </w:pPr>
    </w:p>
    <w:p w:rsidR="006D477F" w:rsidRPr="00747FB0" w:rsidRDefault="006D477F" w:rsidP="00145EA6">
      <w:pPr>
        <w:autoSpaceDE w:val="0"/>
        <w:autoSpaceDN w:val="0"/>
        <w:adjustRightInd w:val="0"/>
        <w:jc w:val="left"/>
        <w:rPr>
          <w:rFonts w:cs="Times New Roman"/>
          <w:szCs w:val="24"/>
          <w:lang w:val="en-GB"/>
        </w:rPr>
      </w:pPr>
    </w:p>
    <w:p w:rsidR="0058226A" w:rsidRPr="00747FB0" w:rsidRDefault="0058226A" w:rsidP="0058226A">
      <w:pPr>
        <w:rPr>
          <w:rFonts w:cs="Times New Roman"/>
          <w:szCs w:val="24"/>
          <w:lang w:val="en-GB"/>
        </w:rPr>
      </w:pPr>
      <w:proofErr w:type="spellStart"/>
      <w:r w:rsidRPr="00747FB0">
        <w:rPr>
          <w:rFonts w:cs="Times New Roman"/>
          <w:color w:val="1C1C20"/>
          <w:szCs w:val="24"/>
          <w:lang w:val="en-GB"/>
        </w:rPr>
        <w:t>V</w:t>
      </w:r>
      <w:r w:rsidR="00747FB0" w:rsidRPr="00747FB0">
        <w:rPr>
          <w:rFonts w:cs="Times New Roman"/>
          <w:color w:val="1C1C20"/>
          <w:szCs w:val="24"/>
          <w:lang w:val="en-GB"/>
        </w:rPr>
        <w:t>oronkova</w:t>
      </w:r>
      <w:proofErr w:type="spellEnd"/>
      <w:r w:rsidR="00747FB0" w:rsidRPr="00747FB0">
        <w:rPr>
          <w:rFonts w:cs="Times New Roman"/>
          <w:color w:val="1C1C20"/>
          <w:szCs w:val="24"/>
          <w:lang w:val="en-GB"/>
        </w:rPr>
        <w:t xml:space="preserve">, S. and M., </w:t>
      </w:r>
      <w:proofErr w:type="spellStart"/>
      <w:r w:rsidR="00747FB0" w:rsidRPr="00747FB0">
        <w:rPr>
          <w:rFonts w:cs="Times New Roman"/>
          <w:color w:val="1C1C20"/>
          <w:szCs w:val="24"/>
          <w:lang w:val="en-GB"/>
        </w:rPr>
        <w:t>Bohl</w:t>
      </w:r>
      <w:proofErr w:type="spellEnd"/>
      <w:r w:rsidR="00747FB0" w:rsidRPr="00747FB0">
        <w:rPr>
          <w:rFonts w:cs="Times New Roman"/>
          <w:color w:val="1C1C20"/>
          <w:szCs w:val="24"/>
          <w:lang w:val="en-GB"/>
        </w:rPr>
        <w:t>, 2003,</w:t>
      </w:r>
      <w:r w:rsidRPr="00747FB0">
        <w:rPr>
          <w:rFonts w:cs="Times New Roman"/>
          <w:color w:val="1C1C20"/>
          <w:szCs w:val="24"/>
          <w:lang w:val="en-GB"/>
        </w:rPr>
        <w:t xml:space="preserve"> “Institutional Traders´ </w:t>
      </w:r>
      <w:proofErr w:type="spellStart"/>
      <w:r w:rsidRPr="00747FB0">
        <w:rPr>
          <w:rFonts w:cs="Times New Roman"/>
          <w:color w:val="1C1C20"/>
          <w:szCs w:val="24"/>
          <w:lang w:val="en-GB"/>
        </w:rPr>
        <w:t>Behavior</w:t>
      </w:r>
      <w:proofErr w:type="spellEnd"/>
      <w:r w:rsidRPr="00747FB0">
        <w:rPr>
          <w:rFonts w:cs="Times New Roman"/>
          <w:color w:val="1C1C20"/>
          <w:szCs w:val="24"/>
          <w:lang w:val="en-GB"/>
        </w:rPr>
        <w:t xml:space="preserve"> in an Emerging Stock Market: Empirical Evidence on Polish Pension Fund Investors”, The Pensions Institute Discussion Paper PI-0310.</w:t>
      </w:r>
    </w:p>
    <w:p w:rsidR="0058226A" w:rsidRPr="00642726" w:rsidRDefault="0058226A" w:rsidP="00145EA6">
      <w:pPr>
        <w:autoSpaceDE w:val="0"/>
        <w:autoSpaceDN w:val="0"/>
        <w:adjustRightInd w:val="0"/>
        <w:jc w:val="left"/>
        <w:rPr>
          <w:rFonts w:cs="Times New Roman"/>
          <w:szCs w:val="24"/>
          <w:highlight w:val="yellow"/>
          <w:lang w:val="en-GB"/>
        </w:rPr>
      </w:pPr>
    </w:p>
    <w:p w:rsidR="0058226A" w:rsidRPr="00747FB0" w:rsidRDefault="00747FB0" w:rsidP="0058226A">
      <w:pPr>
        <w:rPr>
          <w:rFonts w:cs="Times New Roman"/>
          <w:szCs w:val="24"/>
          <w:lang w:val="en-GB"/>
        </w:rPr>
      </w:pPr>
      <w:r w:rsidRPr="00747FB0">
        <w:rPr>
          <w:rFonts w:cs="Times New Roman"/>
          <w:color w:val="1C1C20"/>
          <w:szCs w:val="24"/>
          <w:lang w:val="en-GB"/>
        </w:rPr>
        <w:t xml:space="preserve">Walker, E. and F., </w:t>
      </w:r>
      <w:proofErr w:type="spellStart"/>
      <w:r w:rsidRPr="00747FB0">
        <w:rPr>
          <w:rFonts w:cs="Times New Roman"/>
          <w:color w:val="1C1C20"/>
          <w:szCs w:val="24"/>
          <w:lang w:val="en-GB"/>
        </w:rPr>
        <w:t>Lefort</w:t>
      </w:r>
      <w:proofErr w:type="spellEnd"/>
      <w:r w:rsidRPr="00747FB0">
        <w:rPr>
          <w:rFonts w:cs="Times New Roman"/>
          <w:color w:val="1C1C20"/>
          <w:szCs w:val="24"/>
          <w:lang w:val="en-GB"/>
        </w:rPr>
        <w:t>, 2002,</w:t>
      </w:r>
      <w:r w:rsidR="0058226A" w:rsidRPr="00747FB0">
        <w:rPr>
          <w:rFonts w:cs="Times New Roman"/>
          <w:color w:val="1C1C20"/>
          <w:szCs w:val="24"/>
          <w:lang w:val="en-GB"/>
        </w:rPr>
        <w:t xml:space="preserve"> “Pension Reform and Capital Markets: Are There Any (Hard) Links?”, Social Protection Discussion Papers 24082, The World Bank.</w:t>
      </w:r>
    </w:p>
    <w:p w:rsidR="0058226A" w:rsidRDefault="0058226A" w:rsidP="00145EA6">
      <w:pPr>
        <w:autoSpaceDE w:val="0"/>
        <w:autoSpaceDN w:val="0"/>
        <w:adjustRightInd w:val="0"/>
        <w:jc w:val="left"/>
        <w:rPr>
          <w:rFonts w:cs="Times New Roman"/>
          <w:szCs w:val="24"/>
          <w:highlight w:val="yellow"/>
          <w:lang w:val="en-GB"/>
        </w:rPr>
      </w:pPr>
    </w:p>
    <w:p w:rsidR="0058226A" w:rsidRPr="00642726" w:rsidRDefault="0058226A" w:rsidP="00145EA6">
      <w:pPr>
        <w:autoSpaceDE w:val="0"/>
        <w:autoSpaceDN w:val="0"/>
        <w:adjustRightInd w:val="0"/>
        <w:jc w:val="left"/>
        <w:rPr>
          <w:rFonts w:cs="Times New Roman"/>
          <w:szCs w:val="24"/>
          <w:highlight w:val="yellow"/>
          <w:lang w:val="en-GB"/>
        </w:rPr>
      </w:pPr>
    </w:p>
    <w:p w:rsidR="003E540C" w:rsidRDefault="003E540C">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7A2AB6" w:rsidRDefault="007A2AB6">
      <w:pPr>
        <w:spacing w:line="480" w:lineRule="auto"/>
        <w:rPr>
          <w:rFonts w:cs="Times New Roman"/>
          <w:szCs w:val="24"/>
          <w:lang w:val="en-GB"/>
        </w:rPr>
      </w:pPr>
    </w:p>
    <w:p w:rsidR="004F7BAE" w:rsidRPr="003E540C" w:rsidRDefault="004F7BAE" w:rsidP="004F7BAE">
      <w:pPr>
        <w:jc w:val="center"/>
        <w:rPr>
          <w:rFonts w:cs="Times New Roman"/>
          <w:szCs w:val="24"/>
          <w:lang w:val="en-GB"/>
        </w:rPr>
      </w:pPr>
      <w:r w:rsidRPr="003E540C">
        <w:rPr>
          <w:rFonts w:cs="Times New Roman"/>
          <w:b/>
          <w:szCs w:val="24"/>
          <w:lang w:val="en-GB"/>
        </w:rPr>
        <w:lastRenderedPageBreak/>
        <w:t>Table 1</w:t>
      </w:r>
      <w:r>
        <w:rPr>
          <w:rFonts w:cs="Times New Roman"/>
          <w:b/>
          <w:szCs w:val="24"/>
          <w:lang w:val="en-GB"/>
        </w:rPr>
        <w:t>.</w:t>
      </w:r>
      <w:r w:rsidRPr="003E540C">
        <w:rPr>
          <w:rFonts w:cs="Times New Roman"/>
          <w:szCs w:val="24"/>
          <w:lang w:val="en-GB"/>
        </w:rPr>
        <w:t xml:space="preserve"> Investment</w:t>
      </w:r>
      <w:r>
        <w:rPr>
          <w:rFonts w:cs="Times New Roman"/>
          <w:szCs w:val="24"/>
          <w:lang w:val="en-GB"/>
        </w:rPr>
        <w:t xml:space="preserve"> maximum</w:t>
      </w:r>
      <w:r w:rsidRPr="003E540C">
        <w:rPr>
          <w:rFonts w:cs="Times New Roman"/>
          <w:szCs w:val="24"/>
          <w:lang w:val="en-GB"/>
        </w:rPr>
        <w:t xml:space="preserve"> limits on foreign assets for mandatory pension funds in </w:t>
      </w:r>
      <w:r>
        <w:rPr>
          <w:rFonts w:cs="Times New Roman"/>
          <w:szCs w:val="24"/>
          <w:lang w:val="en-GB"/>
        </w:rPr>
        <w:t xml:space="preserve">the </w:t>
      </w:r>
      <w:r w:rsidRPr="003E540C">
        <w:rPr>
          <w:rFonts w:cs="Times New Roman"/>
          <w:szCs w:val="24"/>
          <w:lang w:val="en-GB"/>
        </w:rPr>
        <w:t>selected CEE countries (% of assets)</w:t>
      </w:r>
    </w:p>
    <w:p w:rsidR="004F7BAE" w:rsidRPr="003E540C" w:rsidRDefault="004F7BAE" w:rsidP="004F7BAE">
      <w:pPr>
        <w:rPr>
          <w:rFonts w:cs="Times New Roman"/>
          <w:szCs w:val="24"/>
          <w:lang w:val="en-GB"/>
        </w:rPr>
      </w:pPr>
    </w:p>
    <w:tbl>
      <w:tblPr>
        <w:tblStyle w:val="Tabela-Siatka"/>
        <w:tblW w:w="0" w:type="auto"/>
        <w:tblInd w:w="108" w:type="dxa"/>
        <w:tblLook w:val="04A0" w:firstRow="1" w:lastRow="0" w:firstColumn="1" w:lastColumn="0" w:noHBand="0" w:noVBand="1"/>
      </w:tblPr>
      <w:tblGrid>
        <w:gridCol w:w="4242"/>
        <w:gridCol w:w="4370"/>
      </w:tblGrid>
      <w:tr w:rsidR="004F7BAE" w:rsidRPr="003E540C" w:rsidTr="000B3FE9">
        <w:tc>
          <w:tcPr>
            <w:tcW w:w="4498" w:type="dxa"/>
          </w:tcPr>
          <w:p w:rsidR="004F7BAE" w:rsidRPr="003E540C" w:rsidRDefault="004F7BAE" w:rsidP="000B3FE9">
            <w:pPr>
              <w:rPr>
                <w:rFonts w:cs="Times New Roman"/>
                <w:b/>
                <w:sz w:val="24"/>
                <w:szCs w:val="24"/>
                <w:lang w:val="en-GB"/>
              </w:rPr>
            </w:pPr>
            <w:r w:rsidRPr="003E540C">
              <w:rPr>
                <w:rFonts w:cs="Times New Roman"/>
                <w:b/>
                <w:sz w:val="24"/>
                <w:szCs w:val="24"/>
                <w:lang w:val="en-GB"/>
              </w:rPr>
              <w:t>Country</w:t>
            </w:r>
          </w:p>
        </w:tc>
        <w:tc>
          <w:tcPr>
            <w:tcW w:w="4606" w:type="dxa"/>
          </w:tcPr>
          <w:p w:rsidR="004F7BAE" w:rsidRPr="003E540C" w:rsidRDefault="004F7BAE" w:rsidP="000B3FE9">
            <w:pPr>
              <w:rPr>
                <w:rFonts w:cs="Times New Roman"/>
                <w:b/>
                <w:sz w:val="24"/>
                <w:szCs w:val="24"/>
                <w:lang w:val="en-GB"/>
              </w:rPr>
            </w:pPr>
            <w:r w:rsidRPr="003E540C">
              <w:rPr>
                <w:rFonts w:cs="Times New Roman"/>
                <w:b/>
                <w:sz w:val="24"/>
                <w:szCs w:val="24"/>
                <w:lang w:val="en-GB"/>
              </w:rPr>
              <w:t>Foreign investments</w:t>
            </w:r>
          </w:p>
        </w:tc>
      </w:tr>
      <w:tr w:rsidR="004F7BAE" w:rsidRPr="003E540C" w:rsidTr="000B3FE9">
        <w:tc>
          <w:tcPr>
            <w:tcW w:w="4498" w:type="dxa"/>
          </w:tcPr>
          <w:p w:rsidR="004F7BAE" w:rsidRPr="003E540C" w:rsidRDefault="004F7BAE" w:rsidP="000B3FE9">
            <w:pPr>
              <w:rPr>
                <w:rFonts w:cs="Times New Roman"/>
                <w:sz w:val="24"/>
                <w:szCs w:val="24"/>
                <w:lang w:val="en-GB"/>
              </w:rPr>
            </w:pPr>
            <w:r w:rsidRPr="003E540C">
              <w:rPr>
                <w:rFonts w:cs="Times New Roman"/>
                <w:sz w:val="24"/>
                <w:szCs w:val="24"/>
                <w:lang w:val="en-GB"/>
              </w:rPr>
              <w:t>Bulgaria</w:t>
            </w:r>
          </w:p>
        </w:tc>
        <w:tc>
          <w:tcPr>
            <w:tcW w:w="4606" w:type="dxa"/>
          </w:tcPr>
          <w:p w:rsidR="004F7BAE" w:rsidRPr="003E540C" w:rsidRDefault="004F7BAE" w:rsidP="000B3FE9">
            <w:pPr>
              <w:rPr>
                <w:rFonts w:cs="Times New Roman"/>
                <w:sz w:val="24"/>
                <w:szCs w:val="24"/>
                <w:lang w:val="en-GB"/>
              </w:rPr>
            </w:pPr>
            <w:r w:rsidRPr="003E540C">
              <w:rPr>
                <w:rFonts w:cs="Times New Roman"/>
                <w:sz w:val="24"/>
                <w:szCs w:val="24"/>
                <w:lang w:val="en-GB"/>
              </w:rPr>
              <w:t>15%</w:t>
            </w:r>
          </w:p>
        </w:tc>
      </w:tr>
      <w:tr w:rsidR="004F7BAE" w:rsidRPr="003E540C" w:rsidTr="000B3FE9">
        <w:tc>
          <w:tcPr>
            <w:tcW w:w="4498" w:type="dxa"/>
          </w:tcPr>
          <w:p w:rsidR="004F7BAE" w:rsidRPr="003E540C" w:rsidRDefault="004F7BAE" w:rsidP="000B3FE9">
            <w:pPr>
              <w:rPr>
                <w:rFonts w:cs="Times New Roman"/>
                <w:sz w:val="24"/>
                <w:szCs w:val="24"/>
                <w:lang w:val="en-GB"/>
              </w:rPr>
            </w:pPr>
            <w:r w:rsidRPr="003E540C">
              <w:rPr>
                <w:rFonts w:cs="Times New Roman"/>
                <w:sz w:val="24"/>
                <w:szCs w:val="24"/>
                <w:lang w:val="en-GB"/>
              </w:rPr>
              <w:t>Croatia</w:t>
            </w:r>
          </w:p>
        </w:tc>
        <w:tc>
          <w:tcPr>
            <w:tcW w:w="4606" w:type="dxa"/>
          </w:tcPr>
          <w:p w:rsidR="004F7BAE" w:rsidRPr="003E540C" w:rsidRDefault="004F7BAE" w:rsidP="000B3FE9">
            <w:pPr>
              <w:rPr>
                <w:rFonts w:cs="Times New Roman"/>
                <w:sz w:val="24"/>
                <w:szCs w:val="24"/>
                <w:lang w:val="en-GB"/>
              </w:rPr>
            </w:pPr>
            <w:r w:rsidRPr="003E540C">
              <w:rPr>
                <w:rFonts w:cs="Times New Roman"/>
                <w:sz w:val="24"/>
                <w:szCs w:val="24"/>
                <w:lang w:val="en-GB"/>
              </w:rPr>
              <w:t>15%</w:t>
            </w:r>
          </w:p>
        </w:tc>
      </w:tr>
      <w:tr w:rsidR="004F7BAE" w:rsidRPr="00B06345" w:rsidTr="000B3FE9">
        <w:tc>
          <w:tcPr>
            <w:tcW w:w="4498" w:type="dxa"/>
          </w:tcPr>
          <w:p w:rsidR="004F7BAE" w:rsidRPr="003E540C" w:rsidRDefault="004F7BAE" w:rsidP="000B3FE9">
            <w:pPr>
              <w:rPr>
                <w:rFonts w:cs="Times New Roman"/>
                <w:sz w:val="24"/>
                <w:szCs w:val="24"/>
                <w:lang w:val="en-GB"/>
              </w:rPr>
            </w:pPr>
            <w:r w:rsidRPr="003E540C">
              <w:rPr>
                <w:rFonts w:cs="Times New Roman"/>
                <w:sz w:val="24"/>
                <w:szCs w:val="24"/>
                <w:lang w:val="en-GB"/>
              </w:rPr>
              <w:t>Estonia</w:t>
            </w:r>
          </w:p>
        </w:tc>
        <w:tc>
          <w:tcPr>
            <w:tcW w:w="4606" w:type="dxa"/>
          </w:tcPr>
          <w:p w:rsidR="004F7BAE" w:rsidRPr="003E540C" w:rsidRDefault="004F7BAE" w:rsidP="000B3FE9">
            <w:pPr>
              <w:pStyle w:val="Default"/>
              <w:jc w:val="both"/>
              <w:rPr>
                <w:lang w:val="en-GB"/>
              </w:rPr>
            </w:pPr>
            <w:r w:rsidRPr="003E540C">
              <w:rPr>
                <w:lang w:val="en-GB"/>
              </w:rPr>
              <w:t xml:space="preserve">No limits for EFTA and CEFTA countries </w:t>
            </w:r>
          </w:p>
        </w:tc>
      </w:tr>
      <w:tr w:rsidR="004F7BAE" w:rsidRPr="003E540C" w:rsidTr="000B3FE9">
        <w:tc>
          <w:tcPr>
            <w:tcW w:w="4498" w:type="dxa"/>
          </w:tcPr>
          <w:p w:rsidR="004F7BAE" w:rsidRPr="003E540C" w:rsidRDefault="004F7BAE" w:rsidP="000B3FE9">
            <w:pPr>
              <w:rPr>
                <w:rFonts w:cs="Times New Roman"/>
                <w:sz w:val="24"/>
                <w:szCs w:val="24"/>
                <w:lang w:val="en-GB"/>
              </w:rPr>
            </w:pPr>
            <w:r w:rsidRPr="003E540C">
              <w:rPr>
                <w:rFonts w:cs="Times New Roman"/>
                <w:sz w:val="24"/>
                <w:szCs w:val="24"/>
                <w:lang w:val="en-GB"/>
              </w:rPr>
              <w:t>Hungary</w:t>
            </w:r>
          </w:p>
        </w:tc>
        <w:tc>
          <w:tcPr>
            <w:tcW w:w="4606" w:type="dxa"/>
          </w:tcPr>
          <w:p w:rsidR="004F7BAE" w:rsidRPr="003E540C" w:rsidRDefault="004F7BAE" w:rsidP="000B3FE9">
            <w:pPr>
              <w:rPr>
                <w:rFonts w:cs="Times New Roman"/>
                <w:sz w:val="24"/>
                <w:szCs w:val="24"/>
                <w:lang w:val="en-GB"/>
              </w:rPr>
            </w:pPr>
            <w:r w:rsidRPr="003E540C">
              <w:rPr>
                <w:rFonts w:cs="Times New Roman"/>
                <w:sz w:val="24"/>
                <w:szCs w:val="24"/>
                <w:lang w:val="en-GB"/>
              </w:rPr>
              <w:t>30%</w:t>
            </w:r>
          </w:p>
        </w:tc>
      </w:tr>
      <w:tr w:rsidR="004F7BAE" w:rsidRPr="00B06345" w:rsidTr="000B3FE9">
        <w:tc>
          <w:tcPr>
            <w:tcW w:w="4498" w:type="dxa"/>
          </w:tcPr>
          <w:p w:rsidR="004F7BAE" w:rsidRPr="003E540C" w:rsidRDefault="004F7BAE" w:rsidP="000B3FE9">
            <w:pPr>
              <w:rPr>
                <w:rFonts w:cs="Times New Roman"/>
                <w:sz w:val="24"/>
                <w:szCs w:val="24"/>
                <w:lang w:val="en-GB"/>
              </w:rPr>
            </w:pPr>
            <w:r w:rsidRPr="003E540C">
              <w:rPr>
                <w:rFonts w:cs="Times New Roman"/>
                <w:sz w:val="24"/>
                <w:szCs w:val="24"/>
                <w:lang w:val="en-GB"/>
              </w:rPr>
              <w:t>Latvia</w:t>
            </w:r>
          </w:p>
        </w:tc>
        <w:tc>
          <w:tcPr>
            <w:tcW w:w="4606" w:type="dxa"/>
          </w:tcPr>
          <w:p w:rsidR="004F7BAE" w:rsidRPr="003E540C" w:rsidRDefault="004F7BAE" w:rsidP="000B3FE9">
            <w:pPr>
              <w:rPr>
                <w:rFonts w:cs="Times New Roman"/>
                <w:sz w:val="24"/>
                <w:szCs w:val="24"/>
                <w:lang w:val="en-GB"/>
              </w:rPr>
            </w:pPr>
            <w:r w:rsidRPr="003E540C">
              <w:rPr>
                <w:rFonts w:cs="Times New Roman"/>
                <w:sz w:val="24"/>
                <w:szCs w:val="24"/>
                <w:lang w:val="en-GB"/>
              </w:rPr>
              <w:t>No limits for EFTA and CEFTA countries</w:t>
            </w:r>
          </w:p>
        </w:tc>
      </w:tr>
      <w:tr w:rsidR="004F7BAE" w:rsidRPr="003E540C" w:rsidTr="000B3FE9">
        <w:tc>
          <w:tcPr>
            <w:tcW w:w="4498" w:type="dxa"/>
          </w:tcPr>
          <w:p w:rsidR="004F7BAE" w:rsidRPr="003E540C" w:rsidRDefault="004F7BAE" w:rsidP="000B3FE9">
            <w:pPr>
              <w:rPr>
                <w:rFonts w:cs="Times New Roman"/>
                <w:sz w:val="24"/>
                <w:szCs w:val="24"/>
                <w:lang w:val="en-GB"/>
              </w:rPr>
            </w:pPr>
            <w:r w:rsidRPr="003E540C">
              <w:rPr>
                <w:rFonts w:cs="Times New Roman"/>
                <w:sz w:val="24"/>
                <w:szCs w:val="24"/>
                <w:lang w:val="en-GB"/>
              </w:rPr>
              <w:t>Poland</w:t>
            </w:r>
          </w:p>
        </w:tc>
        <w:tc>
          <w:tcPr>
            <w:tcW w:w="4606" w:type="dxa"/>
          </w:tcPr>
          <w:p w:rsidR="004F7BAE" w:rsidRPr="003E540C" w:rsidRDefault="004F7BAE" w:rsidP="005E26E6">
            <w:pPr>
              <w:rPr>
                <w:rFonts w:cs="Times New Roman"/>
                <w:sz w:val="24"/>
                <w:szCs w:val="24"/>
                <w:lang w:val="en-GB"/>
              </w:rPr>
            </w:pPr>
            <w:r w:rsidRPr="003E540C">
              <w:rPr>
                <w:rFonts w:cs="Times New Roman"/>
                <w:sz w:val="24"/>
                <w:szCs w:val="24"/>
                <w:lang w:val="en-GB"/>
              </w:rPr>
              <w:t>5%</w:t>
            </w:r>
          </w:p>
        </w:tc>
      </w:tr>
      <w:tr w:rsidR="004F7BAE" w:rsidRPr="00B06345" w:rsidTr="000B3FE9">
        <w:tc>
          <w:tcPr>
            <w:tcW w:w="4498" w:type="dxa"/>
          </w:tcPr>
          <w:p w:rsidR="004F7BAE" w:rsidRPr="003E540C" w:rsidRDefault="004F7BAE" w:rsidP="000B3FE9">
            <w:pPr>
              <w:rPr>
                <w:rFonts w:cs="Times New Roman"/>
                <w:sz w:val="24"/>
                <w:szCs w:val="24"/>
                <w:lang w:val="en-GB"/>
              </w:rPr>
            </w:pPr>
            <w:r w:rsidRPr="003E540C">
              <w:rPr>
                <w:rFonts w:cs="Times New Roman"/>
                <w:sz w:val="24"/>
                <w:szCs w:val="24"/>
                <w:lang w:val="en-GB"/>
              </w:rPr>
              <w:t>Romania</w:t>
            </w:r>
          </w:p>
        </w:tc>
        <w:tc>
          <w:tcPr>
            <w:tcW w:w="4606" w:type="dxa"/>
          </w:tcPr>
          <w:p w:rsidR="004F7BAE" w:rsidRPr="003E540C" w:rsidRDefault="004F7BAE" w:rsidP="000B3FE9">
            <w:pPr>
              <w:pStyle w:val="Default"/>
              <w:jc w:val="both"/>
              <w:rPr>
                <w:lang w:val="en-GB"/>
              </w:rPr>
            </w:pPr>
            <w:r w:rsidRPr="003E540C">
              <w:rPr>
                <w:lang w:val="en-GB"/>
              </w:rPr>
              <w:t xml:space="preserve">No limits for UE and EEA countries </w:t>
            </w:r>
          </w:p>
        </w:tc>
      </w:tr>
      <w:tr w:rsidR="004F7BAE" w:rsidRPr="003E540C" w:rsidTr="000B3FE9">
        <w:tc>
          <w:tcPr>
            <w:tcW w:w="4498" w:type="dxa"/>
          </w:tcPr>
          <w:p w:rsidR="004F7BAE" w:rsidRPr="003E540C" w:rsidRDefault="004F7BAE" w:rsidP="000B3FE9">
            <w:pPr>
              <w:rPr>
                <w:rFonts w:cs="Times New Roman"/>
                <w:sz w:val="24"/>
                <w:szCs w:val="24"/>
                <w:lang w:val="en-GB"/>
              </w:rPr>
            </w:pPr>
            <w:r w:rsidRPr="003E540C">
              <w:rPr>
                <w:rFonts w:cs="Times New Roman"/>
                <w:sz w:val="24"/>
                <w:szCs w:val="24"/>
                <w:lang w:val="en-GB"/>
              </w:rPr>
              <w:t>Slovakia</w:t>
            </w:r>
          </w:p>
        </w:tc>
        <w:tc>
          <w:tcPr>
            <w:tcW w:w="4606" w:type="dxa"/>
          </w:tcPr>
          <w:p w:rsidR="004F7BAE" w:rsidRPr="003E540C" w:rsidRDefault="004F7BAE" w:rsidP="000B3FE9">
            <w:pPr>
              <w:pStyle w:val="Default"/>
              <w:jc w:val="both"/>
              <w:rPr>
                <w:lang w:val="en-GB"/>
              </w:rPr>
            </w:pPr>
            <w:r w:rsidRPr="003E540C">
              <w:rPr>
                <w:lang w:val="en-GB"/>
              </w:rPr>
              <w:t>70%</w:t>
            </w:r>
          </w:p>
        </w:tc>
      </w:tr>
      <w:tr w:rsidR="004F7BAE" w:rsidRPr="00B06345" w:rsidTr="000B3FE9">
        <w:tc>
          <w:tcPr>
            <w:tcW w:w="4498" w:type="dxa"/>
          </w:tcPr>
          <w:p w:rsidR="004F7BAE" w:rsidRPr="003E540C" w:rsidRDefault="004F7BAE" w:rsidP="000B3FE9">
            <w:pPr>
              <w:rPr>
                <w:rFonts w:cs="Times New Roman"/>
                <w:sz w:val="24"/>
                <w:szCs w:val="24"/>
                <w:lang w:val="en-GB"/>
              </w:rPr>
            </w:pPr>
            <w:r w:rsidRPr="003E540C">
              <w:rPr>
                <w:rFonts w:cs="Times New Roman"/>
                <w:sz w:val="24"/>
                <w:szCs w:val="24"/>
                <w:lang w:val="en-GB"/>
              </w:rPr>
              <w:t>Slovenia</w:t>
            </w:r>
          </w:p>
        </w:tc>
        <w:tc>
          <w:tcPr>
            <w:tcW w:w="4606" w:type="dxa"/>
          </w:tcPr>
          <w:p w:rsidR="004F7BAE" w:rsidRPr="003E540C" w:rsidRDefault="004F7BAE" w:rsidP="000B3FE9">
            <w:pPr>
              <w:pStyle w:val="Default"/>
              <w:jc w:val="both"/>
              <w:rPr>
                <w:lang w:val="en-GB"/>
              </w:rPr>
            </w:pPr>
            <w:r w:rsidRPr="003E540C">
              <w:rPr>
                <w:lang w:val="en-GB"/>
              </w:rPr>
              <w:t xml:space="preserve">No limits for OECD countries; however, due to the regulation stipulating that 80% of assets must be denominated in the same currency as liabilities, there is an effective 20% limit on non-Euro investments </w:t>
            </w:r>
          </w:p>
          <w:p w:rsidR="004F7BAE" w:rsidRPr="003E540C" w:rsidRDefault="004F7BAE" w:rsidP="000B3FE9">
            <w:pPr>
              <w:pStyle w:val="Default"/>
              <w:jc w:val="both"/>
              <w:rPr>
                <w:lang w:val="en-GB"/>
              </w:rPr>
            </w:pPr>
          </w:p>
        </w:tc>
      </w:tr>
    </w:tbl>
    <w:p w:rsidR="004F7BAE" w:rsidRDefault="004F7BAE" w:rsidP="004F7BAE">
      <w:pPr>
        <w:rPr>
          <w:rFonts w:cs="Times New Roman"/>
          <w:szCs w:val="24"/>
          <w:lang w:val="en-GB"/>
        </w:rPr>
      </w:pPr>
      <w:r>
        <w:rPr>
          <w:rFonts w:cs="Times New Roman"/>
          <w:szCs w:val="24"/>
          <w:lang w:val="en-GB"/>
        </w:rPr>
        <w:t xml:space="preserve">Note: </w:t>
      </w:r>
      <w:r w:rsidRPr="00A115FB">
        <w:rPr>
          <w:rFonts w:cs="Times New Roman"/>
          <w:szCs w:val="24"/>
          <w:lang w:val="en-GB"/>
        </w:rPr>
        <w:t>according to the sentence of the European Court of Justice from 21</w:t>
      </w:r>
      <w:r w:rsidRPr="00A115FB">
        <w:rPr>
          <w:rFonts w:cs="Times New Roman"/>
          <w:szCs w:val="24"/>
          <w:vertAlign w:val="superscript"/>
          <w:lang w:val="en-GB"/>
        </w:rPr>
        <w:t>st</w:t>
      </w:r>
      <w:r w:rsidRPr="00A115FB">
        <w:rPr>
          <w:rFonts w:cs="Times New Roman"/>
          <w:szCs w:val="24"/>
          <w:lang w:val="en-GB"/>
        </w:rPr>
        <w:t xml:space="preserve">  Dec 2011, Polish government was forced to </w:t>
      </w:r>
      <w:r>
        <w:rPr>
          <w:rFonts w:cs="Times New Roman"/>
          <w:szCs w:val="24"/>
          <w:lang w:val="en-GB"/>
        </w:rPr>
        <w:t>increase this limit. Currently, the new solution has been under debate.</w:t>
      </w:r>
    </w:p>
    <w:p w:rsidR="004F7BAE" w:rsidRDefault="004F7BAE" w:rsidP="004F7BAE">
      <w:pPr>
        <w:rPr>
          <w:rFonts w:cs="Times New Roman"/>
          <w:szCs w:val="24"/>
          <w:lang w:val="en-GB"/>
        </w:rPr>
      </w:pPr>
      <w:r w:rsidRPr="003E540C">
        <w:rPr>
          <w:rFonts w:cs="Times New Roman"/>
          <w:szCs w:val="24"/>
          <w:lang w:val="en-GB"/>
        </w:rPr>
        <w:t xml:space="preserve">Source: </w:t>
      </w:r>
      <w:proofErr w:type="spellStart"/>
      <w:r w:rsidRPr="003E540C">
        <w:rPr>
          <w:rFonts w:cs="Times New Roman"/>
          <w:szCs w:val="24"/>
          <w:lang w:val="en-GB"/>
        </w:rPr>
        <w:t>Chybalski</w:t>
      </w:r>
      <w:proofErr w:type="spellEnd"/>
      <w:r w:rsidRPr="003E540C">
        <w:rPr>
          <w:rFonts w:cs="Times New Roman"/>
          <w:szCs w:val="24"/>
          <w:lang w:val="en-GB"/>
        </w:rPr>
        <w:t xml:space="preserve"> (2011)</w:t>
      </w: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Default="004F7BAE" w:rsidP="004F7BAE">
      <w:pPr>
        <w:rPr>
          <w:rFonts w:cs="Times New Roman"/>
          <w:szCs w:val="24"/>
          <w:lang w:val="en-GB"/>
        </w:rPr>
      </w:pPr>
    </w:p>
    <w:p w:rsidR="004F7BAE" w:rsidRPr="004F7BAE" w:rsidRDefault="004F7BAE" w:rsidP="004F7BAE">
      <w:pPr>
        <w:spacing w:line="480" w:lineRule="auto"/>
        <w:jc w:val="center"/>
        <w:rPr>
          <w:rFonts w:cs="Times New Roman"/>
          <w:szCs w:val="24"/>
          <w:lang w:val="en-GB"/>
        </w:rPr>
      </w:pPr>
      <w:r w:rsidRPr="003E540C">
        <w:rPr>
          <w:rFonts w:cs="Times New Roman"/>
          <w:b/>
          <w:szCs w:val="24"/>
          <w:lang w:val="en-GB"/>
        </w:rPr>
        <w:lastRenderedPageBreak/>
        <w:t xml:space="preserve">Table </w:t>
      </w:r>
      <w:r>
        <w:rPr>
          <w:rFonts w:cs="Times New Roman"/>
          <w:b/>
          <w:szCs w:val="24"/>
          <w:lang w:val="en-GB"/>
        </w:rPr>
        <w:t>2.</w:t>
      </w:r>
      <w:r w:rsidRPr="003E540C">
        <w:rPr>
          <w:rFonts w:cs="Times New Roman"/>
          <w:szCs w:val="24"/>
          <w:lang w:val="en-GB"/>
        </w:rPr>
        <w:t xml:space="preserve"> </w:t>
      </w:r>
      <w:r>
        <w:rPr>
          <w:rFonts w:cs="Times New Roman"/>
          <w:szCs w:val="24"/>
          <w:lang w:val="en-GB"/>
        </w:rPr>
        <w:t>Summary statistics</w:t>
      </w:r>
    </w:p>
    <w:tbl>
      <w:tblPr>
        <w:tblW w:w="5956" w:type="dxa"/>
        <w:jc w:val="center"/>
        <w:tblInd w:w="55" w:type="dxa"/>
        <w:tblCellMar>
          <w:left w:w="70" w:type="dxa"/>
          <w:right w:w="70" w:type="dxa"/>
        </w:tblCellMar>
        <w:tblLook w:val="04A0" w:firstRow="1" w:lastRow="0" w:firstColumn="1" w:lastColumn="0" w:noHBand="0" w:noVBand="1"/>
      </w:tblPr>
      <w:tblGrid>
        <w:gridCol w:w="1087"/>
        <w:gridCol w:w="1014"/>
        <w:gridCol w:w="882"/>
        <w:gridCol w:w="965"/>
        <w:gridCol w:w="1004"/>
        <w:gridCol w:w="1004"/>
      </w:tblGrid>
      <w:tr w:rsidR="004F7BAE" w:rsidRPr="003E540C" w:rsidTr="000B3FE9">
        <w:trPr>
          <w:trHeight w:val="293"/>
          <w:jc w:val="center"/>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rPr>
                <w:rFonts w:cs="Times New Roman"/>
                <w:szCs w:val="24"/>
                <w:lang w:val="en-GB"/>
              </w:rPr>
            </w:pPr>
            <w:r w:rsidRPr="003E540C">
              <w:rPr>
                <w:rFonts w:cs="Times New Roman"/>
                <w:szCs w:val="24"/>
                <w:lang w:val="en-GB"/>
              </w:rPr>
              <w:t> </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WIG</w:t>
            </w:r>
          </w:p>
        </w:tc>
        <w:tc>
          <w:tcPr>
            <w:tcW w:w="882" w:type="dxa"/>
            <w:tcBorders>
              <w:top w:val="single" w:sz="4" w:space="0" w:color="auto"/>
              <w:left w:val="nil"/>
              <w:bottom w:val="single" w:sz="4" w:space="0" w:color="auto"/>
              <w:right w:val="single" w:sz="4" w:space="0" w:color="auto"/>
            </w:tcBorders>
            <w:vAlign w:val="bottom"/>
          </w:tcPr>
          <w:p w:rsidR="004F7BAE" w:rsidRPr="003E540C" w:rsidRDefault="004F7BAE" w:rsidP="000B3FE9">
            <w:pPr>
              <w:jc w:val="center"/>
              <w:rPr>
                <w:rFonts w:cs="Times New Roman"/>
                <w:szCs w:val="24"/>
                <w:lang w:val="en-GB"/>
              </w:rPr>
            </w:pPr>
            <w:r w:rsidRPr="003E540C">
              <w:rPr>
                <w:rFonts w:cs="Times New Roman"/>
                <w:szCs w:val="24"/>
                <w:lang w:val="en-GB"/>
              </w:rPr>
              <w:t>WRD</w:t>
            </w:r>
            <w:r>
              <w:rPr>
                <w:rFonts w:cs="Times New Roman"/>
                <w:szCs w:val="24"/>
                <w:lang w:val="en-GB"/>
              </w:rPr>
              <w:t>'</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EMU</w:t>
            </w:r>
            <w:r>
              <w:rPr>
                <w:rFonts w:cs="Times New Roman"/>
                <w:szCs w:val="24"/>
                <w:lang w:val="en-GB"/>
              </w:rPr>
              <w:t>'</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WRD</w:t>
            </w:r>
            <w:r>
              <w:rPr>
                <w:rFonts w:cs="Times New Roman"/>
                <w:szCs w:val="24"/>
                <w:lang w:val="en-GB"/>
              </w:rPr>
              <w:t>''</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EMU</w:t>
            </w:r>
            <w:r>
              <w:rPr>
                <w:rFonts w:cs="Times New Roman"/>
                <w:szCs w:val="24"/>
                <w:lang w:val="en-GB"/>
              </w:rPr>
              <w:t>''</w:t>
            </w:r>
          </w:p>
        </w:tc>
      </w:tr>
      <w:tr w:rsidR="004F7BAE" w:rsidRPr="003E540C" w:rsidTr="000B3FE9">
        <w:trPr>
          <w:trHeight w:val="293"/>
          <w:jc w:val="center"/>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rPr>
                <w:rFonts w:cs="Times New Roman"/>
                <w:szCs w:val="24"/>
                <w:lang w:val="en-GB"/>
              </w:rPr>
            </w:pPr>
            <w:r w:rsidRPr="003E540C">
              <w:rPr>
                <w:rFonts w:cs="Times New Roman"/>
                <w:szCs w:val="24"/>
                <w:lang w:val="en-GB"/>
              </w:rPr>
              <w:t>Mean</w:t>
            </w:r>
          </w:p>
        </w:tc>
        <w:tc>
          <w:tcPr>
            <w:tcW w:w="101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9,46%</w:t>
            </w:r>
          </w:p>
        </w:tc>
        <w:tc>
          <w:tcPr>
            <w:tcW w:w="882" w:type="dxa"/>
            <w:tcBorders>
              <w:top w:val="single" w:sz="4" w:space="0" w:color="auto"/>
              <w:left w:val="nil"/>
              <w:bottom w:val="single" w:sz="4" w:space="0" w:color="auto"/>
              <w:right w:val="single" w:sz="4" w:space="0" w:color="auto"/>
            </w:tcBorders>
            <w:vAlign w:val="bottom"/>
          </w:tcPr>
          <w:p w:rsidR="004F7BAE" w:rsidRPr="003E540C" w:rsidRDefault="004F7BAE" w:rsidP="000B3FE9">
            <w:pPr>
              <w:jc w:val="right"/>
              <w:rPr>
                <w:rFonts w:cs="Times New Roman"/>
                <w:color w:val="000000"/>
                <w:szCs w:val="24"/>
              </w:rPr>
            </w:pPr>
            <w:r w:rsidRPr="003E540C">
              <w:rPr>
                <w:rFonts w:cs="Times New Roman"/>
                <w:color w:val="000000"/>
                <w:szCs w:val="24"/>
              </w:rPr>
              <w:t>2,01%</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-3,39%</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-0,25%</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-1,17%</w:t>
            </w:r>
          </w:p>
        </w:tc>
      </w:tr>
      <w:tr w:rsidR="004F7BAE" w:rsidRPr="003E540C" w:rsidTr="000B3FE9">
        <w:trPr>
          <w:trHeight w:val="293"/>
          <w:jc w:val="center"/>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rPr>
                <w:rFonts w:cs="Times New Roman"/>
                <w:szCs w:val="24"/>
                <w:lang w:val="en-GB"/>
              </w:rPr>
            </w:pPr>
            <w:r w:rsidRPr="003E540C">
              <w:rPr>
                <w:rFonts w:cs="Times New Roman"/>
                <w:szCs w:val="24"/>
                <w:lang w:val="en-GB"/>
              </w:rPr>
              <w:t>Std. dev.</w:t>
            </w:r>
          </w:p>
        </w:tc>
        <w:tc>
          <w:tcPr>
            <w:tcW w:w="1014" w:type="dxa"/>
            <w:tcBorders>
              <w:top w:val="nil"/>
              <w:left w:val="nil"/>
              <w:bottom w:val="single" w:sz="4" w:space="0" w:color="auto"/>
              <w:right w:val="single" w:sz="4" w:space="0" w:color="auto"/>
            </w:tcBorders>
            <w:shd w:val="clear" w:color="auto" w:fill="auto"/>
            <w:noWrap/>
            <w:vAlign w:val="bottom"/>
          </w:tcPr>
          <w:p w:rsidR="004F7BAE" w:rsidRPr="003E540C" w:rsidRDefault="004F7BAE" w:rsidP="000B3FE9">
            <w:pPr>
              <w:jc w:val="right"/>
              <w:rPr>
                <w:rFonts w:cs="Times New Roman"/>
                <w:color w:val="000000"/>
                <w:szCs w:val="24"/>
              </w:rPr>
            </w:pPr>
            <w:r w:rsidRPr="003E540C">
              <w:rPr>
                <w:rFonts w:cs="Times New Roman"/>
                <w:color w:val="000000"/>
                <w:szCs w:val="24"/>
              </w:rPr>
              <w:t>23,63%</w:t>
            </w:r>
          </w:p>
        </w:tc>
        <w:tc>
          <w:tcPr>
            <w:tcW w:w="882" w:type="dxa"/>
            <w:tcBorders>
              <w:top w:val="single" w:sz="4" w:space="0" w:color="auto"/>
              <w:left w:val="nil"/>
              <w:bottom w:val="single" w:sz="4" w:space="0" w:color="auto"/>
              <w:right w:val="single" w:sz="4" w:space="0" w:color="auto"/>
            </w:tcBorders>
            <w:vAlign w:val="bottom"/>
          </w:tcPr>
          <w:p w:rsidR="004F7BAE" w:rsidRPr="003E540C" w:rsidRDefault="004F7BAE" w:rsidP="000B3FE9">
            <w:pPr>
              <w:jc w:val="right"/>
              <w:rPr>
                <w:rFonts w:cs="Times New Roman"/>
                <w:color w:val="000000"/>
                <w:szCs w:val="24"/>
              </w:rPr>
            </w:pPr>
            <w:r w:rsidRPr="003E540C">
              <w:rPr>
                <w:rFonts w:cs="Times New Roman"/>
                <w:color w:val="000000"/>
                <w:szCs w:val="24"/>
              </w:rPr>
              <w:t>17,38%</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20,11%</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26,09%</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25,72%</w:t>
            </w:r>
          </w:p>
        </w:tc>
      </w:tr>
      <w:tr w:rsidR="004F7BAE" w:rsidRPr="003E540C" w:rsidTr="000B3FE9">
        <w:trPr>
          <w:trHeight w:val="293"/>
          <w:jc w:val="center"/>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rPr>
                <w:rFonts w:cs="Times New Roman"/>
                <w:szCs w:val="24"/>
                <w:lang w:val="en-GB"/>
              </w:rPr>
            </w:pPr>
            <w:proofErr w:type="spellStart"/>
            <w:r w:rsidRPr="003E540C">
              <w:rPr>
                <w:rFonts w:cs="Times New Roman"/>
                <w:szCs w:val="24"/>
                <w:lang w:val="en-GB"/>
              </w:rPr>
              <w:t>Skewness</w:t>
            </w:r>
            <w:proofErr w:type="spellEnd"/>
          </w:p>
        </w:tc>
        <w:tc>
          <w:tcPr>
            <w:tcW w:w="101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-0,58</w:t>
            </w:r>
          </w:p>
        </w:tc>
        <w:tc>
          <w:tcPr>
            <w:tcW w:w="882" w:type="dxa"/>
            <w:tcBorders>
              <w:top w:val="single" w:sz="4" w:space="0" w:color="auto"/>
              <w:left w:val="nil"/>
              <w:bottom w:val="single" w:sz="4" w:space="0" w:color="auto"/>
              <w:right w:val="single" w:sz="4" w:space="0" w:color="auto"/>
            </w:tcBorders>
            <w:vAlign w:val="bottom"/>
          </w:tcPr>
          <w:p w:rsidR="004F7BAE" w:rsidRPr="003E540C" w:rsidRDefault="004F7BAE" w:rsidP="000B3FE9">
            <w:pPr>
              <w:jc w:val="right"/>
              <w:rPr>
                <w:rFonts w:cs="Times New Roman"/>
                <w:color w:val="000000"/>
                <w:szCs w:val="24"/>
              </w:rPr>
            </w:pPr>
            <w:r w:rsidRPr="003E540C">
              <w:rPr>
                <w:rFonts w:cs="Times New Roman"/>
                <w:color w:val="000000"/>
                <w:szCs w:val="24"/>
              </w:rPr>
              <w:t>-0,98</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-0,81</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0,17</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-0,02</w:t>
            </w:r>
          </w:p>
        </w:tc>
      </w:tr>
      <w:tr w:rsidR="004F7BAE" w:rsidRPr="003E540C" w:rsidTr="000B3FE9">
        <w:trPr>
          <w:trHeight w:val="293"/>
          <w:jc w:val="center"/>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rPr>
                <w:rFonts w:cs="Times New Roman"/>
                <w:szCs w:val="24"/>
                <w:lang w:val="en-GB"/>
              </w:rPr>
            </w:pPr>
            <w:r w:rsidRPr="003E540C">
              <w:rPr>
                <w:rFonts w:cs="Times New Roman"/>
                <w:szCs w:val="24"/>
                <w:lang w:val="en-GB"/>
              </w:rPr>
              <w:t>Kurtosis</w:t>
            </w:r>
          </w:p>
        </w:tc>
        <w:tc>
          <w:tcPr>
            <w:tcW w:w="101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1,97</w:t>
            </w:r>
          </w:p>
        </w:tc>
        <w:tc>
          <w:tcPr>
            <w:tcW w:w="882" w:type="dxa"/>
            <w:tcBorders>
              <w:top w:val="single" w:sz="4" w:space="0" w:color="auto"/>
              <w:left w:val="nil"/>
              <w:bottom w:val="single" w:sz="4" w:space="0" w:color="auto"/>
              <w:right w:val="single" w:sz="4" w:space="0" w:color="auto"/>
            </w:tcBorders>
            <w:vAlign w:val="bottom"/>
          </w:tcPr>
          <w:p w:rsidR="004F7BAE" w:rsidRPr="003E540C" w:rsidRDefault="004F7BAE" w:rsidP="000B3FE9">
            <w:pPr>
              <w:jc w:val="right"/>
              <w:rPr>
                <w:rFonts w:cs="Times New Roman"/>
                <w:color w:val="000000"/>
                <w:szCs w:val="24"/>
              </w:rPr>
            </w:pPr>
            <w:r w:rsidRPr="003E540C">
              <w:rPr>
                <w:rFonts w:cs="Times New Roman"/>
                <w:color w:val="000000"/>
                <w:szCs w:val="24"/>
              </w:rPr>
              <w:t>2,35</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1,43</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3,29</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1,14</w:t>
            </w:r>
          </w:p>
        </w:tc>
      </w:tr>
      <w:tr w:rsidR="004F7BAE" w:rsidRPr="003E540C" w:rsidTr="000B3FE9">
        <w:trPr>
          <w:trHeight w:val="293"/>
          <w:jc w:val="center"/>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rPr>
                <w:rFonts w:cs="Times New Roman"/>
                <w:szCs w:val="24"/>
                <w:lang w:val="en-GB"/>
              </w:rPr>
            </w:pPr>
            <w:proofErr w:type="spellStart"/>
            <w:r w:rsidRPr="003E540C">
              <w:rPr>
                <w:rFonts w:cs="Times New Roman"/>
                <w:szCs w:val="24"/>
                <w:lang w:val="en-GB"/>
              </w:rPr>
              <w:t>Jarque-Bera</w:t>
            </w:r>
            <w:proofErr w:type="spellEnd"/>
          </w:p>
        </w:tc>
        <w:tc>
          <w:tcPr>
            <w:tcW w:w="101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23,24</w:t>
            </w:r>
          </w:p>
        </w:tc>
        <w:tc>
          <w:tcPr>
            <w:tcW w:w="882" w:type="dxa"/>
            <w:tcBorders>
              <w:top w:val="single" w:sz="4" w:space="0" w:color="auto"/>
              <w:left w:val="nil"/>
              <w:bottom w:val="single" w:sz="4" w:space="0" w:color="auto"/>
              <w:right w:val="single" w:sz="4" w:space="0" w:color="auto"/>
            </w:tcBorders>
            <w:vAlign w:val="bottom"/>
          </w:tcPr>
          <w:p w:rsidR="004F7BAE" w:rsidRPr="003E540C" w:rsidRDefault="004F7BAE" w:rsidP="000B3FE9">
            <w:pPr>
              <w:jc w:val="right"/>
              <w:rPr>
                <w:rFonts w:cs="Times New Roman"/>
                <w:color w:val="000000"/>
                <w:szCs w:val="24"/>
              </w:rPr>
            </w:pPr>
            <w:r w:rsidRPr="003E540C">
              <w:rPr>
                <w:rFonts w:cs="Times New Roman"/>
                <w:color w:val="000000"/>
                <w:szCs w:val="24"/>
              </w:rPr>
              <w:t>42,59</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21,31</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47,83</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5,36</w:t>
            </w:r>
          </w:p>
        </w:tc>
      </w:tr>
      <w:tr w:rsidR="004F7BAE" w:rsidRPr="003E540C" w:rsidTr="000B3FE9">
        <w:trPr>
          <w:trHeight w:val="293"/>
          <w:jc w:val="center"/>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rPr>
                <w:rFonts w:cs="Times New Roman"/>
                <w:i/>
                <w:szCs w:val="24"/>
                <w:lang w:val="en-GB"/>
              </w:rPr>
            </w:pPr>
            <w:r w:rsidRPr="003E540C">
              <w:rPr>
                <w:rFonts w:cs="Times New Roman"/>
                <w:i/>
                <w:szCs w:val="24"/>
                <w:lang w:val="en-GB"/>
              </w:rPr>
              <w:t>p-value</w:t>
            </w:r>
          </w:p>
        </w:tc>
        <w:tc>
          <w:tcPr>
            <w:tcW w:w="101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0,000</w:t>
            </w:r>
          </w:p>
        </w:tc>
        <w:tc>
          <w:tcPr>
            <w:tcW w:w="882" w:type="dxa"/>
            <w:tcBorders>
              <w:top w:val="single" w:sz="4" w:space="0" w:color="auto"/>
              <w:left w:val="nil"/>
              <w:bottom w:val="single" w:sz="4" w:space="0" w:color="auto"/>
              <w:right w:val="single" w:sz="4" w:space="0" w:color="auto"/>
            </w:tcBorders>
            <w:vAlign w:val="bottom"/>
          </w:tcPr>
          <w:p w:rsidR="004F7BAE" w:rsidRPr="003E540C" w:rsidRDefault="004F7BAE" w:rsidP="000B3FE9">
            <w:pPr>
              <w:jc w:val="right"/>
              <w:rPr>
                <w:rFonts w:cs="Times New Roman"/>
                <w:color w:val="000000"/>
                <w:szCs w:val="24"/>
              </w:rPr>
            </w:pPr>
            <w:r w:rsidRPr="003E540C">
              <w:rPr>
                <w:rFonts w:cs="Times New Roman"/>
                <w:color w:val="000000"/>
                <w:szCs w:val="24"/>
              </w:rPr>
              <w:t>0,000</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0,000</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0,000</w:t>
            </w:r>
          </w:p>
        </w:tc>
        <w:tc>
          <w:tcPr>
            <w:tcW w:w="1004"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right"/>
              <w:rPr>
                <w:rFonts w:cs="Times New Roman"/>
                <w:color w:val="000000"/>
                <w:szCs w:val="24"/>
              </w:rPr>
            </w:pPr>
            <w:r w:rsidRPr="003E540C">
              <w:rPr>
                <w:rFonts w:cs="Times New Roman"/>
                <w:color w:val="000000"/>
                <w:szCs w:val="24"/>
              </w:rPr>
              <w:t>0,069</w:t>
            </w:r>
          </w:p>
        </w:tc>
      </w:tr>
    </w:tbl>
    <w:p w:rsidR="004F7BAE" w:rsidRDefault="004F7BAE" w:rsidP="004F7BAE">
      <w:pPr>
        <w:autoSpaceDE w:val="0"/>
        <w:autoSpaceDN w:val="0"/>
        <w:adjustRightInd w:val="0"/>
        <w:jc w:val="left"/>
        <w:rPr>
          <w:rFonts w:cs="Times New Roman"/>
          <w:szCs w:val="24"/>
          <w:lang w:val="en-GB"/>
        </w:rPr>
      </w:pPr>
      <w:r>
        <w:rPr>
          <w:rFonts w:cs="Times New Roman"/>
          <w:szCs w:val="24"/>
          <w:lang w:val="en-GB"/>
        </w:rPr>
        <w:t xml:space="preserve">Note: ' - </w:t>
      </w:r>
      <w:r w:rsidRPr="003E540C">
        <w:rPr>
          <w:rFonts w:cs="Times New Roman"/>
          <w:szCs w:val="24"/>
          <w:lang w:val="en-GB"/>
        </w:rPr>
        <w:t>foreign indices denominated in USD or EUR</w:t>
      </w:r>
      <w:r>
        <w:rPr>
          <w:rFonts w:cs="Times New Roman"/>
          <w:szCs w:val="24"/>
          <w:lang w:val="en-GB"/>
        </w:rPr>
        <w:t xml:space="preserve">,'' - </w:t>
      </w:r>
      <w:r w:rsidRPr="003E540C">
        <w:rPr>
          <w:rFonts w:cs="Times New Roman"/>
          <w:szCs w:val="24"/>
          <w:lang w:val="en-GB"/>
        </w:rPr>
        <w:t>foreign indices returns denominated in PLN</w:t>
      </w:r>
      <w:r>
        <w:rPr>
          <w:rFonts w:cs="Times New Roman"/>
          <w:szCs w:val="24"/>
          <w:lang w:val="en-GB"/>
        </w:rPr>
        <w:t>. Means and standard deviations have been annualized.</w:t>
      </w:r>
    </w:p>
    <w:p w:rsidR="004F7BAE" w:rsidRDefault="004F7BAE" w:rsidP="004F7BAE">
      <w:pPr>
        <w:rPr>
          <w:rFonts w:cs="Times New Roman"/>
          <w:szCs w:val="24"/>
          <w:lang w:val="en-GB"/>
        </w:rPr>
      </w:pPr>
      <w:r>
        <w:rPr>
          <w:rFonts w:cs="Times New Roman"/>
          <w:szCs w:val="24"/>
          <w:lang w:val="en-GB"/>
        </w:rPr>
        <w:t>Source: own study</w:t>
      </w: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Pr="00E96025" w:rsidRDefault="004F7BAE" w:rsidP="004F7BAE">
      <w:pPr>
        <w:pStyle w:val="Legenda"/>
        <w:keepNext/>
        <w:spacing w:line="480" w:lineRule="auto"/>
        <w:jc w:val="center"/>
        <w:rPr>
          <w:sz w:val="24"/>
          <w:szCs w:val="24"/>
          <w:lang w:val="en-GB"/>
        </w:rPr>
      </w:pPr>
      <w:r w:rsidRPr="003E540C">
        <w:rPr>
          <w:sz w:val="24"/>
          <w:szCs w:val="24"/>
          <w:lang w:val="en-GB"/>
        </w:rPr>
        <w:lastRenderedPageBreak/>
        <w:t xml:space="preserve">Table 3. </w:t>
      </w:r>
      <w:proofErr w:type="spellStart"/>
      <w:r w:rsidRPr="00E96025">
        <w:rPr>
          <w:b w:val="0"/>
          <w:sz w:val="24"/>
          <w:szCs w:val="24"/>
          <w:lang w:val="en-GB"/>
        </w:rPr>
        <w:t>Stationarity</w:t>
      </w:r>
      <w:proofErr w:type="spellEnd"/>
      <w:r w:rsidRPr="00E96025">
        <w:rPr>
          <w:b w:val="0"/>
          <w:sz w:val="24"/>
          <w:szCs w:val="24"/>
          <w:lang w:val="en-GB"/>
        </w:rPr>
        <w:t xml:space="preserve"> tests' results</w:t>
      </w:r>
    </w:p>
    <w:tbl>
      <w:tblPr>
        <w:tblW w:w="6978" w:type="dxa"/>
        <w:jc w:val="center"/>
        <w:tblInd w:w="55" w:type="dxa"/>
        <w:tblCellMar>
          <w:left w:w="70" w:type="dxa"/>
          <w:right w:w="70" w:type="dxa"/>
        </w:tblCellMar>
        <w:tblLook w:val="04A0" w:firstRow="1" w:lastRow="0" w:firstColumn="1" w:lastColumn="0" w:noHBand="0" w:noVBand="1"/>
      </w:tblPr>
      <w:tblGrid>
        <w:gridCol w:w="1011"/>
        <w:gridCol w:w="1141"/>
        <w:gridCol w:w="1141"/>
        <w:gridCol w:w="1141"/>
        <w:gridCol w:w="1272"/>
        <w:gridCol w:w="1272"/>
      </w:tblGrid>
      <w:tr w:rsidR="004F7BAE" w:rsidRPr="003E540C" w:rsidTr="000B3FE9">
        <w:trPr>
          <w:trHeight w:val="598"/>
          <w:jc w:val="center"/>
        </w:trPr>
        <w:tc>
          <w:tcPr>
            <w:tcW w:w="1011"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4F7BAE" w:rsidRPr="003E540C" w:rsidRDefault="004F7BAE" w:rsidP="000B3FE9">
            <w:pPr>
              <w:rPr>
                <w:rFonts w:cs="Times New Roman"/>
                <w:szCs w:val="24"/>
                <w:lang w:val="en-GB"/>
              </w:rPr>
            </w:pPr>
            <w:r>
              <w:rPr>
                <w:rFonts w:cs="Times New Roman"/>
                <w:szCs w:val="24"/>
                <w:lang w:val="en-GB"/>
              </w:rPr>
              <w:t xml:space="preserve">     </w:t>
            </w:r>
            <w:r w:rsidRPr="003E540C">
              <w:rPr>
                <w:rFonts w:cs="Times New Roman"/>
                <w:szCs w:val="24"/>
                <w:lang w:val="en-GB"/>
              </w:rPr>
              <w:t xml:space="preserve">Index                         Test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WIG</w:t>
            </w:r>
          </w:p>
        </w:tc>
        <w:tc>
          <w:tcPr>
            <w:tcW w:w="1141" w:type="dxa"/>
            <w:tcBorders>
              <w:top w:val="single" w:sz="4" w:space="0" w:color="auto"/>
              <w:left w:val="nil"/>
              <w:bottom w:val="single" w:sz="4" w:space="0" w:color="auto"/>
              <w:right w:val="single" w:sz="4" w:space="0" w:color="auto"/>
            </w:tcBorders>
            <w:vAlign w:val="bottom"/>
          </w:tcPr>
          <w:p w:rsidR="004F7BAE" w:rsidRPr="003E540C" w:rsidRDefault="004F7BAE" w:rsidP="000B3FE9">
            <w:pPr>
              <w:jc w:val="center"/>
              <w:rPr>
                <w:rFonts w:cs="Times New Roman"/>
                <w:szCs w:val="24"/>
                <w:lang w:val="en-GB"/>
              </w:rPr>
            </w:pPr>
            <w:r w:rsidRPr="003E540C">
              <w:rPr>
                <w:rFonts w:cs="Times New Roman"/>
                <w:szCs w:val="24"/>
                <w:lang w:val="en-GB"/>
              </w:rPr>
              <w:t>WRD</w:t>
            </w:r>
            <w:r>
              <w:rPr>
                <w:rFonts w:cs="Times New Roman"/>
                <w:szCs w:val="24"/>
                <w:lang w:val="en-GB"/>
              </w:rPr>
              <w:t>'</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EMU</w:t>
            </w:r>
            <w:r>
              <w:rPr>
                <w:rFonts w:cs="Times New Roman"/>
                <w:szCs w:val="24"/>
                <w:lang w:val="en-GB"/>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WRD</w:t>
            </w:r>
            <w:r>
              <w:rPr>
                <w:rFonts w:cs="Times New Roman"/>
                <w:szCs w:val="24"/>
                <w:lang w:val="en-GB"/>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EMU</w:t>
            </w:r>
            <w:r>
              <w:rPr>
                <w:rFonts w:cs="Times New Roman"/>
                <w:szCs w:val="24"/>
                <w:lang w:val="en-GB"/>
              </w:rPr>
              <w:t>''</w:t>
            </w:r>
          </w:p>
        </w:tc>
      </w:tr>
      <w:tr w:rsidR="004F7BAE" w:rsidRPr="003E540C" w:rsidTr="000B3FE9">
        <w:trPr>
          <w:trHeight w:val="341"/>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4F7BAE" w:rsidRPr="003E540C" w:rsidRDefault="004F7BAE" w:rsidP="000B3FE9">
            <w:pPr>
              <w:rPr>
                <w:rFonts w:cs="Times New Roman"/>
                <w:szCs w:val="24"/>
                <w:lang w:val="en-GB"/>
              </w:rPr>
            </w:pPr>
            <w:r w:rsidRPr="003E540C">
              <w:rPr>
                <w:rFonts w:cs="Times New Roman"/>
                <w:szCs w:val="24"/>
                <w:lang w:val="en-GB"/>
              </w:rPr>
              <w:t>ADF</w:t>
            </w:r>
          </w:p>
        </w:tc>
        <w:tc>
          <w:tcPr>
            <w:tcW w:w="1141" w:type="dxa"/>
            <w:tcBorders>
              <w:top w:val="nil"/>
              <w:left w:val="nil"/>
              <w:bottom w:val="single" w:sz="4" w:space="0" w:color="auto"/>
              <w:right w:val="single" w:sz="4" w:space="0" w:color="auto"/>
            </w:tcBorders>
            <w:shd w:val="clear" w:color="auto" w:fill="auto"/>
            <w:noWrap/>
            <w:vAlign w:val="center"/>
            <w:hideMark/>
          </w:tcPr>
          <w:p w:rsidR="004F7BAE" w:rsidRPr="003E540C" w:rsidRDefault="004F7BAE" w:rsidP="000B3FE9">
            <w:pPr>
              <w:jc w:val="center"/>
              <w:rPr>
                <w:rFonts w:cs="Times New Roman"/>
                <w:szCs w:val="24"/>
                <w:lang w:val="en-GB"/>
              </w:rPr>
            </w:pPr>
            <w:r w:rsidRPr="003E540C">
              <w:rPr>
                <w:rFonts w:cs="Times New Roman"/>
                <w:szCs w:val="24"/>
                <w:lang w:val="en-GB"/>
              </w:rPr>
              <w:t>-9,471***</w:t>
            </w:r>
          </w:p>
        </w:tc>
        <w:tc>
          <w:tcPr>
            <w:tcW w:w="1141" w:type="dxa"/>
            <w:tcBorders>
              <w:top w:val="single" w:sz="4" w:space="0" w:color="auto"/>
              <w:left w:val="nil"/>
              <w:bottom w:val="single" w:sz="4" w:space="0" w:color="auto"/>
              <w:right w:val="single" w:sz="4" w:space="0" w:color="auto"/>
            </w:tcBorders>
            <w:vAlign w:val="center"/>
          </w:tcPr>
          <w:p w:rsidR="004F7BAE" w:rsidRPr="003E540C" w:rsidRDefault="004F7BAE" w:rsidP="000B3FE9">
            <w:pPr>
              <w:jc w:val="center"/>
              <w:rPr>
                <w:rFonts w:cs="Times New Roman"/>
                <w:szCs w:val="24"/>
                <w:lang w:val="en-GB"/>
              </w:rPr>
            </w:pPr>
            <w:r w:rsidRPr="003E540C">
              <w:rPr>
                <w:rFonts w:cs="Times New Roman"/>
                <w:szCs w:val="24"/>
                <w:lang w:val="en-GB"/>
              </w:rPr>
              <w:t>-8,453***</w:t>
            </w:r>
          </w:p>
        </w:tc>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F7BAE" w:rsidRPr="003E540C" w:rsidRDefault="004F7BAE" w:rsidP="000B3FE9">
            <w:pPr>
              <w:jc w:val="center"/>
              <w:rPr>
                <w:rFonts w:cs="Times New Roman"/>
                <w:szCs w:val="24"/>
                <w:lang w:val="en-GB"/>
              </w:rPr>
            </w:pPr>
            <w:r w:rsidRPr="003E540C">
              <w:rPr>
                <w:rFonts w:cs="Times New Roman"/>
                <w:szCs w:val="24"/>
                <w:lang w:val="en-GB"/>
              </w:rPr>
              <w:t>-9,262***</w:t>
            </w:r>
          </w:p>
        </w:tc>
        <w:tc>
          <w:tcPr>
            <w:tcW w:w="1272" w:type="dxa"/>
            <w:tcBorders>
              <w:top w:val="nil"/>
              <w:left w:val="nil"/>
              <w:bottom w:val="single" w:sz="4" w:space="0" w:color="auto"/>
              <w:right w:val="single" w:sz="4" w:space="0" w:color="auto"/>
            </w:tcBorders>
            <w:shd w:val="clear" w:color="auto" w:fill="auto"/>
            <w:noWrap/>
            <w:vAlign w:val="center"/>
            <w:hideMark/>
          </w:tcPr>
          <w:p w:rsidR="004F7BAE" w:rsidRPr="003E540C" w:rsidRDefault="004F7BAE" w:rsidP="000B3FE9">
            <w:pPr>
              <w:jc w:val="center"/>
              <w:rPr>
                <w:rFonts w:cs="Times New Roman"/>
                <w:szCs w:val="24"/>
                <w:lang w:val="en-GB"/>
              </w:rPr>
            </w:pPr>
            <w:r w:rsidRPr="003E540C">
              <w:rPr>
                <w:rFonts w:cs="Times New Roman"/>
                <w:szCs w:val="24"/>
                <w:lang w:val="en-GB"/>
              </w:rPr>
              <w:t>-14,824***</w:t>
            </w:r>
          </w:p>
        </w:tc>
        <w:tc>
          <w:tcPr>
            <w:tcW w:w="1272" w:type="dxa"/>
            <w:tcBorders>
              <w:top w:val="nil"/>
              <w:left w:val="nil"/>
              <w:bottom w:val="single" w:sz="4" w:space="0" w:color="auto"/>
              <w:right w:val="single" w:sz="4" w:space="0" w:color="auto"/>
            </w:tcBorders>
            <w:shd w:val="clear" w:color="auto" w:fill="auto"/>
            <w:noWrap/>
            <w:vAlign w:val="center"/>
            <w:hideMark/>
          </w:tcPr>
          <w:p w:rsidR="004F7BAE" w:rsidRPr="003E540C" w:rsidRDefault="004F7BAE" w:rsidP="000B3FE9">
            <w:pPr>
              <w:jc w:val="center"/>
              <w:rPr>
                <w:rFonts w:cs="Times New Roman"/>
                <w:szCs w:val="24"/>
                <w:lang w:val="en-GB"/>
              </w:rPr>
            </w:pPr>
            <w:r w:rsidRPr="003E540C">
              <w:rPr>
                <w:rFonts w:cs="Times New Roman"/>
                <w:szCs w:val="24"/>
                <w:lang w:val="en-GB"/>
              </w:rPr>
              <w:t>-13,224***</w:t>
            </w:r>
          </w:p>
        </w:tc>
      </w:tr>
      <w:tr w:rsidR="004F7BAE" w:rsidRPr="003E540C" w:rsidTr="000B3FE9">
        <w:trPr>
          <w:trHeight w:val="341"/>
          <w:jc w:val="center"/>
        </w:trPr>
        <w:tc>
          <w:tcPr>
            <w:tcW w:w="1011" w:type="dxa"/>
            <w:tcBorders>
              <w:top w:val="nil"/>
              <w:left w:val="single" w:sz="4" w:space="0" w:color="auto"/>
              <w:bottom w:val="single" w:sz="4" w:space="0" w:color="auto"/>
              <w:right w:val="single" w:sz="4" w:space="0" w:color="auto"/>
            </w:tcBorders>
            <w:shd w:val="clear" w:color="auto" w:fill="auto"/>
            <w:noWrap/>
            <w:vAlign w:val="center"/>
            <w:hideMark/>
          </w:tcPr>
          <w:p w:rsidR="004F7BAE" w:rsidRPr="003E540C" w:rsidRDefault="004F7BAE" w:rsidP="000B3FE9">
            <w:pPr>
              <w:rPr>
                <w:rFonts w:cs="Times New Roman"/>
                <w:szCs w:val="24"/>
                <w:lang w:val="en-GB"/>
              </w:rPr>
            </w:pPr>
            <w:r w:rsidRPr="003E540C">
              <w:rPr>
                <w:rFonts w:cs="Times New Roman"/>
                <w:szCs w:val="24"/>
                <w:lang w:val="en-GB"/>
              </w:rPr>
              <w:t>KPPS</w:t>
            </w:r>
          </w:p>
        </w:tc>
        <w:tc>
          <w:tcPr>
            <w:tcW w:w="1141" w:type="dxa"/>
            <w:tcBorders>
              <w:top w:val="nil"/>
              <w:left w:val="nil"/>
              <w:bottom w:val="single" w:sz="4" w:space="0" w:color="auto"/>
              <w:right w:val="single" w:sz="4" w:space="0" w:color="auto"/>
            </w:tcBorders>
            <w:shd w:val="clear" w:color="auto" w:fill="auto"/>
            <w:noWrap/>
            <w:vAlign w:val="center"/>
            <w:hideMark/>
          </w:tcPr>
          <w:p w:rsidR="004F7BAE" w:rsidRPr="003E540C" w:rsidRDefault="004F7BAE" w:rsidP="000B3FE9">
            <w:pPr>
              <w:jc w:val="center"/>
              <w:rPr>
                <w:rFonts w:cs="Times New Roman"/>
                <w:szCs w:val="24"/>
                <w:lang w:val="en-GB"/>
              </w:rPr>
            </w:pPr>
            <w:r w:rsidRPr="003E540C">
              <w:rPr>
                <w:rFonts w:cs="Times New Roman"/>
                <w:szCs w:val="24"/>
                <w:lang w:val="en-GB"/>
              </w:rPr>
              <w:t>0,156</w:t>
            </w:r>
          </w:p>
        </w:tc>
        <w:tc>
          <w:tcPr>
            <w:tcW w:w="1141" w:type="dxa"/>
            <w:tcBorders>
              <w:top w:val="single" w:sz="4" w:space="0" w:color="auto"/>
              <w:left w:val="nil"/>
              <w:bottom w:val="single" w:sz="4" w:space="0" w:color="auto"/>
              <w:right w:val="single" w:sz="4" w:space="0" w:color="auto"/>
            </w:tcBorders>
            <w:vAlign w:val="center"/>
          </w:tcPr>
          <w:p w:rsidR="004F7BAE" w:rsidRPr="003E540C" w:rsidRDefault="004F7BAE" w:rsidP="000B3FE9">
            <w:pPr>
              <w:jc w:val="center"/>
              <w:rPr>
                <w:rFonts w:cs="Times New Roman"/>
                <w:szCs w:val="24"/>
                <w:lang w:val="en-GB"/>
              </w:rPr>
            </w:pPr>
            <w:r w:rsidRPr="003E540C">
              <w:rPr>
                <w:rFonts w:cs="Times New Roman"/>
                <w:szCs w:val="24"/>
                <w:lang w:val="en-GB"/>
              </w:rPr>
              <w:t>0,077</w:t>
            </w:r>
          </w:p>
        </w:tc>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4F7BAE" w:rsidRPr="003E540C" w:rsidRDefault="004F7BAE" w:rsidP="000B3FE9">
            <w:pPr>
              <w:jc w:val="center"/>
              <w:rPr>
                <w:rFonts w:cs="Times New Roman"/>
                <w:szCs w:val="24"/>
                <w:lang w:val="en-GB"/>
              </w:rPr>
            </w:pPr>
            <w:r w:rsidRPr="003E540C">
              <w:rPr>
                <w:rFonts w:cs="Times New Roman"/>
                <w:szCs w:val="24"/>
                <w:lang w:val="en-GB"/>
              </w:rPr>
              <w:t>0,105</w:t>
            </w:r>
          </w:p>
        </w:tc>
        <w:tc>
          <w:tcPr>
            <w:tcW w:w="1272" w:type="dxa"/>
            <w:tcBorders>
              <w:top w:val="nil"/>
              <w:left w:val="nil"/>
              <w:bottom w:val="single" w:sz="4" w:space="0" w:color="auto"/>
              <w:right w:val="single" w:sz="4" w:space="0" w:color="auto"/>
            </w:tcBorders>
            <w:shd w:val="clear" w:color="auto" w:fill="auto"/>
            <w:noWrap/>
            <w:vAlign w:val="center"/>
            <w:hideMark/>
          </w:tcPr>
          <w:p w:rsidR="004F7BAE" w:rsidRPr="003E540C" w:rsidRDefault="004F7BAE" w:rsidP="000B3FE9">
            <w:pPr>
              <w:jc w:val="center"/>
              <w:rPr>
                <w:rFonts w:cs="Times New Roman"/>
                <w:szCs w:val="24"/>
                <w:lang w:val="en-GB"/>
              </w:rPr>
            </w:pPr>
            <w:r w:rsidRPr="003E540C">
              <w:rPr>
                <w:rFonts w:cs="Times New Roman"/>
                <w:szCs w:val="24"/>
                <w:lang w:val="en-GB"/>
              </w:rPr>
              <w:t>0,08</w:t>
            </w:r>
          </w:p>
        </w:tc>
        <w:tc>
          <w:tcPr>
            <w:tcW w:w="1272" w:type="dxa"/>
            <w:tcBorders>
              <w:top w:val="nil"/>
              <w:left w:val="nil"/>
              <w:bottom w:val="single" w:sz="4" w:space="0" w:color="auto"/>
              <w:right w:val="single" w:sz="4" w:space="0" w:color="auto"/>
            </w:tcBorders>
            <w:shd w:val="clear" w:color="auto" w:fill="auto"/>
            <w:noWrap/>
            <w:vAlign w:val="center"/>
            <w:hideMark/>
          </w:tcPr>
          <w:p w:rsidR="004F7BAE" w:rsidRPr="003E540C" w:rsidRDefault="004F7BAE" w:rsidP="000B3FE9">
            <w:pPr>
              <w:jc w:val="center"/>
              <w:rPr>
                <w:rFonts w:cs="Times New Roman"/>
                <w:szCs w:val="24"/>
                <w:lang w:val="en-GB"/>
              </w:rPr>
            </w:pPr>
            <w:r w:rsidRPr="003E540C">
              <w:rPr>
                <w:rFonts w:cs="Times New Roman"/>
                <w:szCs w:val="24"/>
                <w:lang w:val="en-GB"/>
              </w:rPr>
              <w:t>0,078</w:t>
            </w:r>
          </w:p>
        </w:tc>
      </w:tr>
    </w:tbl>
    <w:p w:rsidR="004F7BAE" w:rsidRPr="003E540C" w:rsidRDefault="004F7BAE" w:rsidP="004F7BAE">
      <w:pPr>
        <w:pStyle w:val="Legenda"/>
        <w:rPr>
          <w:b w:val="0"/>
          <w:sz w:val="24"/>
          <w:szCs w:val="24"/>
          <w:lang w:val="en-GB"/>
        </w:rPr>
      </w:pPr>
      <w:r w:rsidRPr="003E540C">
        <w:rPr>
          <w:b w:val="0"/>
          <w:sz w:val="24"/>
          <w:szCs w:val="24"/>
          <w:lang w:val="en-GB"/>
        </w:rPr>
        <w:t xml:space="preserve">Note: *** - significant at 1%, ** - significant at 5%, * - significant at 10%.    </w:t>
      </w:r>
    </w:p>
    <w:p w:rsidR="004F7BAE" w:rsidRPr="003E540C" w:rsidRDefault="004F7BAE" w:rsidP="004F7BAE">
      <w:pPr>
        <w:pStyle w:val="Legenda"/>
        <w:rPr>
          <w:rFonts w:eastAsia="Calibri"/>
          <w:b w:val="0"/>
          <w:sz w:val="24"/>
          <w:szCs w:val="24"/>
          <w:lang w:val="en-GB"/>
        </w:rPr>
      </w:pPr>
      <w:r>
        <w:rPr>
          <w:b w:val="0"/>
          <w:sz w:val="24"/>
          <w:szCs w:val="24"/>
          <w:lang w:val="en-GB"/>
        </w:rPr>
        <w:t>Source</w:t>
      </w:r>
      <w:r w:rsidRPr="003E540C">
        <w:rPr>
          <w:b w:val="0"/>
          <w:sz w:val="24"/>
          <w:szCs w:val="24"/>
          <w:lang w:val="en-GB"/>
        </w:rPr>
        <w:t>: own study.</w:t>
      </w: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Pr="003E540C" w:rsidRDefault="004F7BAE" w:rsidP="004F7BAE">
      <w:pPr>
        <w:pStyle w:val="Legenda"/>
        <w:keepNext/>
        <w:spacing w:line="480" w:lineRule="auto"/>
        <w:jc w:val="center"/>
        <w:rPr>
          <w:sz w:val="24"/>
          <w:szCs w:val="24"/>
          <w:lang w:val="en-GB"/>
        </w:rPr>
      </w:pPr>
      <w:r w:rsidRPr="003E540C">
        <w:rPr>
          <w:sz w:val="24"/>
          <w:szCs w:val="24"/>
          <w:lang w:val="en-GB"/>
        </w:rPr>
        <w:lastRenderedPageBreak/>
        <w:t xml:space="preserve">Table 4. </w:t>
      </w:r>
      <w:r w:rsidRPr="00E96025">
        <w:rPr>
          <w:b w:val="0"/>
          <w:sz w:val="24"/>
          <w:szCs w:val="24"/>
          <w:lang w:val="en-GB"/>
        </w:rPr>
        <w:t>Correlations</w:t>
      </w:r>
      <w:r>
        <w:rPr>
          <w:b w:val="0"/>
          <w:sz w:val="24"/>
          <w:szCs w:val="24"/>
          <w:lang w:val="en-GB"/>
        </w:rPr>
        <w:t xml:space="preserve"> (currency hedging case)</w:t>
      </w:r>
    </w:p>
    <w:tbl>
      <w:tblPr>
        <w:tblpPr w:leftFromText="141" w:rightFromText="141" w:vertAnchor="text" w:horzAnchor="margin" w:tblpXSpec="center" w:tblpY="131"/>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1"/>
        <w:gridCol w:w="1080"/>
        <w:gridCol w:w="1514"/>
        <w:gridCol w:w="1513"/>
      </w:tblGrid>
      <w:tr w:rsidR="004F7BAE" w:rsidRPr="003E540C" w:rsidTr="000B3FE9">
        <w:trPr>
          <w:trHeight w:val="285"/>
        </w:trPr>
        <w:tc>
          <w:tcPr>
            <w:tcW w:w="1581" w:type="dxa"/>
            <w:shd w:val="clear" w:color="auto" w:fill="auto"/>
            <w:noWrap/>
            <w:vAlign w:val="bottom"/>
            <w:hideMark/>
          </w:tcPr>
          <w:p w:rsidR="004F7BAE" w:rsidRPr="003E540C" w:rsidRDefault="004F7BAE" w:rsidP="000B3FE9">
            <w:pPr>
              <w:jc w:val="center"/>
              <w:rPr>
                <w:rFonts w:eastAsia="Times New Roman" w:cs="Times New Roman"/>
                <w:i/>
                <w:iCs/>
                <w:color w:val="000000"/>
                <w:szCs w:val="24"/>
                <w:lang w:val="en-GB" w:eastAsia="pl-PL"/>
              </w:rPr>
            </w:pPr>
            <w:r w:rsidRPr="003E540C">
              <w:rPr>
                <w:rFonts w:eastAsia="Times New Roman" w:cs="Times New Roman"/>
                <w:i/>
                <w:iCs/>
                <w:color w:val="000000"/>
                <w:szCs w:val="24"/>
                <w:lang w:val="en-GB" w:eastAsia="pl-PL"/>
              </w:rPr>
              <w:t> </w:t>
            </w:r>
          </w:p>
        </w:tc>
        <w:tc>
          <w:tcPr>
            <w:tcW w:w="1080" w:type="dxa"/>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WIG</w:t>
            </w:r>
          </w:p>
        </w:tc>
        <w:tc>
          <w:tcPr>
            <w:tcW w:w="1514" w:type="dxa"/>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WRD</w:t>
            </w:r>
            <w:r>
              <w:rPr>
                <w:rFonts w:cs="Times New Roman"/>
                <w:szCs w:val="24"/>
                <w:lang w:val="en-GB"/>
              </w:rPr>
              <w:t>'</w:t>
            </w:r>
          </w:p>
        </w:tc>
        <w:tc>
          <w:tcPr>
            <w:tcW w:w="1513" w:type="dxa"/>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EMU</w:t>
            </w:r>
            <w:r>
              <w:rPr>
                <w:rFonts w:cs="Times New Roman"/>
                <w:szCs w:val="24"/>
                <w:lang w:val="en-GB"/>
              </w:rPr>
              <w:t>'</w:t>
            </w:r>
          </w:p>
        </w:tc>
      </w:tr>
      <w:tr w:rsidR="004F7BAE" w:rsidRPr="003E540C" w:rsidTr="000B3FE9">
        <w:trPr>
          <w:trHeight w:val="285"/>
        </w:trPr>
        <w:tc>
          <w:tcPr>
            <w:tcW w:w="1581"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r>
              <w:rPr>
                <w:rFonts w:eastAsia="Times New Roman" w:cs="Times New Roman"/>
                <w:color w:val="000000"/>
                <w:szCs w:val="24"/>
                <w:lang w:eastAsia="pl-PL"/>
              </w:rPr>
              <w:t>WIG</w:t>
            </w:r>
          </w:p>
        </w:tc>
        <w:tc>
          <w:tcPr>
            <w:tcW w:w="1080"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1</w:t>
            </w:r>
          </w:p>
        </w:tc>
        <w:tc>
          <w:tcPr>
            <w:tcW w:w="1514"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p>
        </w:tc>
        <w:tc>
          <w:tcPr>
            <w:tcW w:w="1513"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p>
        </w:tc>
      </w:tr>
      <w:tr w:rsidR="004F7BAE" w:rsidRPr="003E540C" w:rsidTr="000B3FE9">
        <w:trPr>
          <w:trHeight w:val="285"/>
        </w:trPr>
        <w:tc>
          <w:tcPr>
            <w:tcW w:w="1581"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r w:rsidRPr="003E540C">
              <w:rPr>
                <w:rFonts w:cs="Times New Roman"/>
                <w:szCs w:val="24"/>
                <w:lang w:val="en-GB"/>
              </w:rPr>
              <w:t>WRD</w:t>
            </w:r>
            <w:r>
              <w:rPr>
                <w:rFonts w:cs="Times New Roman"/>
                <w:szCs w:val="24"/>
                <w:lang w:val="en-GB"/>
              </w:rPr>
              <w:t>'</w:t>
            </w:r>
          </w:p>
        </w:tc>
        <w:tc>
          <w:tcPr>
            <w:tcW w:w="1080"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0,769551</w:t>
            </w:r>
          </w:p>
        </w:tc>
        <w:tc>
          <w:tcPr>
            <w:tcW w:w="1514"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1</w:t>
            </w:r>
          </w:p>
        </w:tc>
        <w:tc>
          <w:tcPr>
            <w:tcW w:w="1513"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p>
        </w:tc>
      </w:tr>
      <w:tr w:rsidR="004F7BAE" w:rsidRPr="003E540C" w:rsidTr="000B3FE9">
        <w:trPr>
          <w:trHeight w:val="285"/>
        </w:trPr>
        <w:tc>
          <w:tcPr>
            <w:tcW w:w="1581"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r w:rsidRPr="003E540C">
              <w:rPr>
                <w:rFonts w:cs="Times New Roman"/>
                <w:szCs w:val="24"/>
                <w:lang w:val="en-GB"/>
              </w:rPr>
              <w:t>EMU</w:t>
            </w:r>
            <w:r>
              <w:rPr>
                <w:rFonts w:cs="Times New Roman"/>
                <w:szCs w:val="24"/>
                <w:lang w:val="en-GB"/>
              </w:rPr>
              <w:t>'</w:t>
            </w:r>
          </w:p>
        </w:tc>
        <w:tc>
          <w:tcPr>
            <w:tcW w:w="1080"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0,747077</w:t>
            </w:r>
          </w:p>
        </w:tc>
        <w:tc>
          <w:tcPr>
            <w:tcW w:w="1514"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0,900881</w:t>
            </w:r>
          </w:p>
        </w:tc>
        <w:tc>
          <w:tcPr>
            <w:tcW w:w="1513"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1</w:t>
            </w:r>
          </w:p>
        </w:tc>
      </w:tr>
    </w:tbl>
    <w:p w:rsidR="004F7BAE" w:rsidRPr="003E540C" w:rsidRDefault="004F7BAE" w:rsidP="004F7BAE">
      <w:pPr>
        <w:autoSpaceDE w:val="0"/>
        <w:autoSpaceDN w:val="0"/>
        <w:adjustRightInd w:val="0"/>
        <w:spacing w:line="480" w:lineRule="auto"/>
        <w:ind w:firstLine="708"/>
        <w:rPr>
          <w:rFonts w:cs="Times New Roman"/>
          <w:szCs w:val="24"/>
          <w:lang w:val="en-GB"/>
        </w:rPr>
      </w:pPr>
    </w:p>
    <w:p w:rsidR="004F7BAE" w:rsidRPr="003E540C" w:rsidRDefault="004F7BAE" w:rsidP="004F7BAE">
      <w:pPr>
        <w:autoSpaceDE w:val="0"/>
        <w:autoSpaceDN w:val="0"/>
        <w:adjustRightInd w:val="0"/>
        <w:spacing w:line="480" w:lineRule="auto"/>
        <w:rPr>
          <w:rFonts w:cs="Times New Roman"/>
          <w:szCs w:val="24"/>
          <w:lang w:val="en-GB"/>
        </w:rPr>
      </w:pPr>
    </w:p>
    <w:p w:rsidR="004F7BAE" w:rsidRDefault="004F7BAE" w:rsidP="004F7BAE">
      <w:pPr>
        <w:pStyle w:val="Legenda"/>
        <w:rPr>
          <w:b w:val="0"/>
          <w:sz w:val="24"/>
          <w:szCs w:val="24"/>
          <w:lang w:val="en-GB"/>
        </w:rPr>
      </w:pPr>
    </w:p>
    <w:p w:rsidR="004F7BAE" w:rsidRPr="003E540C" w:rsidRDefault="004F7BAE" w:rsidP="004F7BAE">
      <w:pPr>
        <w:pStyle w:val="Legenda"/>
        <w:ind w:left="708" w:firstLine="708"/>
        <w:rPr>
          <w:rFonts w:eastAsia="Calibri"/>
          <w:b w:val="0"/>
          <w:sz w:val="24"/>
          <w:szCs w:val="24"/>
          <w:lang w:val="en-GB"/>
        </w:rPr>
      </w:pPr>
      <w:r>
        <w:rPr>
          <w:b w:val="0"/>
          <w:sz w:val="24"/>
          <w:szCs w:val="24"/>
          <w:lang w:val="en-GB"/>
        </w:rPr>
        <w:t>Source</w:t>
      </w:r>
      <w:r w:rsidRPr="003E540C">
        <w:rPr>
          <w:b w:val="0"/>
          <w:sz w:val="24"/>
          <w:szCs w:val="24"/>
          <w:lang w:val="en-GB"/>
        </w:rPr>
        <w:t>: own study.</w:t>
      </w: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Pr="00CA63D6" w:rsidRDefault="004F7BAE" w:rsidP="004F7BAE">
      <w:pPr>
        <w:pStyle w:val="Legenda"/>
        <w:keepNext/>
        <w:spacing w:line="480" w:lineRule="auto"/>
        <w:jc w:val="center"/>
        <w:rPr>
          <w:b w:val="0"/>
          <w:sz w:val="24"/>
          <w:szCs w:val="24"/>
          <w:lang w:val="en-GB"/>
        </w:rPr>
      </w:pPr>
      <w:r w:rsidRPr="003E540C">
        <w:rPr>
          <w:sz w:val="24"/>
          <w:szCs w:val="24"/>
          <w:lang w:val="en-GB"/>
        </w:rPr>
        <w:lastRenderedPageBreak/>
        <w:t xml:space="preserve">Table 5. </w:t>
      </w:r>
      <w:r w:rsidRPr="00CA63D6">
        <w:rPr>
          <w:b w:val="0"/>
          <w:sz w:val="24"/>
          <w:szCs w:val="24"/>
          <w:lang w:val="en-GB"/>
        </w:rPr>
        <w:t>Correlations</w:t>
      </w:r>
      <w:r>
        <w:rPr>
          <w:b w:val="0"/>
          <w:sz w:val="24"/>
          <w:szCs w:val="24"/>
          <w:lang w:val="en-GB"/>
        </w:rPr>
        <w:t xml:space="preserve"> (no currency hedging case)</w:t>
      </w:r>
    </w:p>
    <w:tbl>
      <w:tblPr>
        <w:tblW w:w="5608"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4"/>
        <w:gridCol w:w="1080"/>
        <w:gridCol w:w="1487"/>
        <w:gridCol w:w="1487"/>
      </w:tblGrid>
      <w:tr w:rsidR="004F7BAE" w:rsidRPr="003E540C" w:rsidTr="000B3FE9">
        <w:trPr>
          <w:trHeight w:val="285"/>
          <w:jc w:val="center"/>
        </w:trPr>
        <w:tc>
          <w:tcPr>
            <w:tcW w:w="1554" w:type="dxa"/>
            <w:shd w:val="clear" w:color="auto" w:fill="auto"/>
            <w:noWrap/>
            <w:vAlign w:val="bottom"/>
            <w:hideMark/>
          </w:tcPr>
          <w:p w:rsidR="004F7BAE" w:rsidRPr="003E540C" w:rsidRDefault="004F7BAE" w:rsidP="000B3FE9">
            <w:pPr>
              <w:rPr>
                <w:rFonts w:eastAsia="Times New Roman" w:cs="Times New Roman"/>
                <w:i/>
                <w:iCs/>
                <w:color w:val="000000"/>
                <w:szCs w:val="24"/>
                <w:lang w:val="en-GB" w:eastAsia="pl-PL"/>
              </w:rPr>
            </w:pPr>
            <w:r w:rsidRPr="003E540C">
              <w:rPr>
                <w:rFonts w:eastAsia="Times New Roman" w:cs="Times New Roman"/>
                <w:i/>
                <w:iCs/>
                <w:color w:val="000000"/>
                <w:szCs w:val="24"/>
                <w:lang w:val="en-GB" w:eastAsia="pl-PL"/>
              </w:rPr>
              <w:t> </w:t>
            </w:r>
          </w:p>
        </w:tc>
        <w:tc>
          <w:tcPr>
            <w:tcW w:w="1080" w:type="dxa"/>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r w:rsidRPr="003E540C">
              <w:rPr>
                <w:rFonts w:cs="Times New Roman"/>
                <w:szCs w:val="24"/>
                <w:lang w:val="en-GB"/>
              </w:rPr>
              <w:t>WIG</w:t>
            </w:r>
          </w:p>
        </w:tc>
        <w:tc>
          <w:tcPr>
            <w:tcW w:w="1487" w:type="dxa"/>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WRD</w:t>
            </w:r>
            <w:r>
              <w:rPr>
                <w:rFonts w:cs="Times New Roman"/>
                <w:szCs w:val="24"/>
                <w:lang w:val="en-GB"/>
              </w:rPr>
              <w:t>''</w:t>
            </w:r>
          </w:p>
        </w:tc>
        <w:tc>
          <w:tcPr>
            <w:tcW w:w="1487" w:type="dxa"/>
            <w:shd w:val="clear" w:color="auto" w:fill="auto"/>
            <w:noWrap/>
            <w:vAlign w:val="bottom"/>
            <w:hideMark/>
          </w:tcPr>
          <w:p w:rsidR="004F7BAE" w:rsidRPr="003E540C" w:rsidRDefault="004F7BAE" w:rsidP="000B3FE9">
            <w:pPr>
              <w:jc w:val="center"/>
              <w:rPr>
                <w:rFonts w:cs="Times New Roman"/>
                <w:szCs w:val="24"/>
                <w:lang w:val="en-GB"/>
              </w:rPr>
            </w:pPr>
            <w:r w:rsidRPr="003E540C">
              <w:rPr>
                <w:rFonts w:cs="Times New Roman"/>
                <w:szCs w:val="24"/>
                <w:lang w:val="en-GB"/>
              </w:rPr>
              <w:t>EMU</w:t>
            </w:r>
            <w:r>
              <w:rPr>
                <w:rFonts w:cs="Times New Roman"/>
                <w:szCs w:val="24"/>
                <w:lang w:val="en-GB"/>
              </w:rPr>
              <w:t>''</w:t>
            </w:r>
          </w:p>
        </w:tc>
      </w:tr>
      <w:tr w:rsidR="004F7BAE" w:rsidRPr="003E540C" w:rsidTr="000B3FE9">
        <w:trPr>
          <w:trHeight w:val="285"/>
          <w:jc w:val="center"/>
        </w:trPr>
        <w:tc>
          <w:tcPr>
            <w:tcW w:w="1554"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r>
              <w:rPr>
                <w:rFonts w:eastAsia="Times New Roman" w:cs="Times New Roman"/>
                <w:color w:val="000000"/>
                <w:szCs w:val="24"/>
                <w:lang w:eastAsia="pl-PL"/>
              </w:rPr>
              <w:t>WIG</w:t>
            </w:r>
          </w:p>
        </w:tc>
        <w:tc>
          <w:tcPr>
            <w:tcW w:w="1080"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1</w:t>
            </w:r>
          </w:p>
        </w:tc>
        <w:tc>
          <w:tcPr>
            <w:tcW w:w="1487"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p>
        </w:tc>
        <w:tc>
          <w:tcPr>
            <w:tcW w:w="1487"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p>
        </w:tc>
      </w:tr>
      <w:tr w:rsidR="004F7BAE" w:rsidRPr="003E540C" w:rsidTr="000B3FE9">
        <w:trPr>
          <w:trHeight w:val="285"/>
          <w:jc w:val="center"/>
        </w:trPr>
        <w:tc>
          <w:tcPr>
            <w:tcW w:w="1554"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r w:rsidRPr="003E540C">
              <w:rPr>
                <w:rFonts w:cs="Times New Roman"/>
                <w:szCs w:val="24"/>
                <w:lang w:val="en-GB"/>
              </w:rPr>
              <w:t>WRD</w:t>
            </w:r>
            <w:r>
              <w:rPr>
                <w:rFonts w:cs="Times New Roman"/>
                <w:szCs w:val="24"/>
                <w:lang w:val="en-GB"/>
              </w:rPr>
              <w:t>''</w:t>
            </w:r>
          </w:p>
        </w:tc>
        <w:tc>
          <w:tcPr>
            <w:tcW w:w="1080"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0,350581</w:t>
            </w:r>
          </w:p>
        </w:tc>
        <w:tc>
          <w:tcPr>
            <w:tcW w:w="1487"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1</w:t>
            </w:r>
          </w:p>
        </w:tc>
        <w:tc>
          <w:tcPr>
            <w:tcW w:w="1487"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p>
        </w:tc>
      </w:tr>
      <w:tr w:rsidR="004F7BAE" w:rsidRPr="003E540C" w:rsidTr="000B3FE9">
        <w:trPr>
          <w:trHeight w:val="300"/>
          <w:jc w:val="center"/>
        </w:trPr>
        <w:tc>
          <w:tcPr>
            <w:tcW w:w="1554" w:type="dxa"/>
            <w:shd w:val="clear" w:color="auto" w:fill="auto"/>
            <w:noWrap/>
            <w:vAlign w:val="bottom"/>
            <w:hideMark/>
          </w:tcPr>
          <w:p w:rsidR="004F7BAE" w:rsidRPr="003E540C" w:rsidRDefault="004F7BAE" w:rsidP="000B3FE9">
            <w:pPr>
              <w:jc w:val="left"/>
              <w:rPr>
                <w:rFonts w:eastAsia="Times New Roman" w:cs="Times New Roman"/>
                <w:color w:val="000000"/>
                <w:szCs w:val="24"/>
                <w:lang w:eastAsia="pl-PL"/>
              </w:rPr>
            </w:pPr>
            <w:r w:rsidRPr="003E540C">
              <w:rPr>
                <w:rFonts w:cs="Times New Roman"/>
                <w:szCs w:val="24"/>
                <w:lang w:val="en-GB"/>
              </w:rPr>
              <w:t>EMU</w:t>
            </w:r>
            <w:r>
              <w:rPr>
                <w:rFonts w:cs="Times New Roman"/>
                <w:szCs w:val="24"/>
                <w:lang w:val="en-GB"/>
              </w:rPr>
              <w:t>''</w:t>
            </w:r>
          </w:p>
        </w:tc>
        <w:tc>
          <w:tcPr>
            <w:tcW w:w="1080"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0,347897</w:t>
            </w:r>
          </w:p>
        </w:tc>
        <w:tc>
          <w:tcPr>
            <w:tcW w:w="1487"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0,238466</w:t>
            </w:r>
          </w:p>
        </w:tc>
        <w:tc>
          <w:tcPr>
            <w:tcW w:w="1487" w:type="dxa"/>
            <w:shd w:val="clear" w:color="auto" w:fill="auto"/>
            <w:noWrap/>
            <w:vAlign w:val="bottom"/>
            <w:hideMark/>
          </w:tcPr>
          <w:p w:rsidR="004F7BAE" w:rsidRPr="003E540C" w:rsidRDefault="004F7BAE" w:rsidP="000B3FE9">
            <w:pPr>
              <w:jc w:val="right"/>
              <w:rPr>
                <w:rFonts w:eastAsia="Times New Roman" w:cs="Times New Roman"/>
                <w:color w:val="000000"/>
                <w:szCs w:val="24"/>
                <w:lang w:eastAsia="pl-PL"/>
              </w:rPr>
            </w:pPr>
            <w:r w:rsidRPr="003E540C">
              <w:rPr>
                <w:rFonts w:eastAsia="Times New Roman" w:cs="Times New Roman"/>
                <w:color w:val="000000"/>
                <w:szCs w:val="24"/>
                <w:lang w:eastAsia="pl-PL"/>
              </w:rPr>
              <w:t>1</w:t>
            </w:r>
          </w:p>
        </w:tc>
      </w:tr>
    </w:tbl>
    <w:p w:rsidR="004F7BAE" w:rsidRPr="003E540C" w:rsidRDefault="004F7BAE" w:rsidP="004F7BAE">
      <w:pPr>
        <w:pStyle w:val="Legenda"/>
        <w:ind w:left="708" w:firstLine="708"/>
        <w:rPr>
          <w:rFonts w:eastAsia="Calibri"/>
          <w:b w:val="0"/>
          <w:sz w:val="24"/>
          <w:szCs w:val="24"/>
          <w:lang w:val="en-GB"/>
        </w:rPr>
      </w:pPr>
      <w:r>
        <w:rPr>
          <w:b w:val="0"/>
          <w:sz w:val="24"/>
          <w:szCs w:val="24"/>
          <w:lang w:val="en-GB"/>
        </w:rPr>
        <w:t>Source</w:t>
      </w:r>
      <w:r w:rsidRPr="003E540C">
        <w:rPr>
          <w:b w:val="0"/>
          <w:sz w:val="24"/>
          <w:szCs w:val="24"/>
          <w:lang w:val="en-GB"/>
        </w:rPr>
        <w:t>: own study.</w:t>
      </w: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Pr="003E540C" w:rsidRDefault="004F7BAE" w:rsidP="004F7BAE">
      <w:pPr>
        <w:autoSpaceDE w:val="0"/>
        <w:autoSpaceDN w:val="0"/>
        <w:adjustRightInd w:val="0"/>
        <w:spacing w:line="480" w:lineRule="auto"/>
        <w:ind w:firstLine="708"/>
        <w:jc w:val="center"/>
        <w:rPr>
          <w:rFonts w:cs="Times New Roman"/>
          <w:b/>
          <w:szCs w:val="24"/>
          <w:lang w:val="en-US"/>
        </w:rPr>
      </w:pPr>
      <w:r w:rsidRPr="003E540C">
        <w:rPr>
          <w:rFonts w:cs="Times New Roman"/>
          <w:b/>
          <w:szCs w:val="24"/>
          <w:lang w:val="en-US"/>
        </w:rPr>
        <w:lastRenderedPageBreak/>
        <w:t xml:space="preserve">Table 6. </w:t>
      </w:r>
      <w:r w:rsidRPr="00F15CB6">
        <w:rPr>
          <w:rFonts w:cs="Times New Roman"/>
          <w:szCs w:val="24"/>
          <w:lang w:val="en-US"/>
        </w:rPr>
        <w:t>MVP portfolios (short sale restricted)</w:t>
      </w:r>
    </w:p>
    <w:tbl>
      <w:tblPr>
        <w:tblW w:w="4600" w:type="dxa"/>
        <w:jc w:val="center"/>
        <w:tblInd w:w="55" w:type="dxa"/>
        <w:tblCellMar>
          <w:left w:w="70" w:type="dxa"/>
          <w:right w:w="70" w:type="dxa"/>
        </w:tblCellMar>
        <w:tblLook w:val="04A0" w:firstRow="1" w:lastRow="0" w:firstColumn="1" w:lastColumn="0" w:noHBand="0" w:noVBand="1"/>
      </w:tblPr>
      <w:tblGrid>
        <w:gridCol w:w="320"/>
        <w:gridCol w:w="1360"/>
        <w:gridCol w:w="1840"/>
        <w:gridCol w:w="1080"/>
      </w:tblGrid>
      <w:tr w:rsidR="004F7BAE" w:rsidRPr="003E540C" w:rsidTr="000B3FE9">
        <w:trPr>
          <w:trHeight w:val="285"/>
          <w:jc w:val="center"/>
        </w:trPr>
        <w:tc>
          <w:tcPr>
            <w:tcW w:w="32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1.</w:t>
            </w:r>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color w:val="000000"/>
                <w:szCs w:val="24"/>
                <w:lang w:eastAsia="pl-PL"/>
              </w:rPr>
            </w:pPr>
            <w:r w:rsidRPr="003E540C">
              <w:rPr>
                <w:rFonts w:cs="Times New Roman"/>
                <w:szCs w:val="24"/>
                <w:lang w:val="en-GB"/>
              </w:rPr>
              <w:t>WIG</w:t>
            </w:r>
          </w:p>
        </w:tc>
        <w:tc>
          <w:tcPr>
            <w:tcW w:w="1840" w:type="dxa"/>
            <w:tcBorders>
              <w:top w:val="single" w:sz="4" w:space="0" w:color="auto"/>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color w:val="000000"/>
                <w:szCs w:val="24"/>
                <w:lang w:eastAsia="pl-PL"/>
              </w:rPr>
            </w:pPr>
            <w:r w:rsidRPr="003E540C">
              <w:rPr>
                <w:rFonts w:cs="Times New Roman"/>
                <w:szCs w:val="24"/>
                <w:lang w:val="en-GB"/>
              </w:rPr>
              <w:t>EMU</w:t>
            </w:r>
            <w:r>
              <w:rPr>
                <w:rFonts w:cs="Times New Roman"/>
                <w:szCs w:val="24"/>
                <w:lang w:val="en-GB"/>
              </w:rPr>
              <w:t>'</w:t>
            </w:r>
          </w:p>
        </w:tc>
        <w:tc>
          <w:tcPr>
            <w:tcW w:w="1080" w:type="dxa"/>
            <w:tcBorders>
              <w:top w:val="single" w:sz="4" w:space="0" w:color="auto"/>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proofErr w:type="spellStart"/>
            <w:r>
              <w:rPr>
                <w:rFonts w:eastAsia="Times New Roman" w:cs="Times New Roman"/>
                <w:color w:val="000000"/>
                <w:szCs w:val="24"/>
                <w:lang w:eastAsia="pl-PL"/>
              </w:rPr>
              <w:t>std</w:t>
            </w:r>
            <w:proofErr w:type="spellEnd"/>
            <w:r>
              <w:rPr>
                <w:rFonts w:eastAsia="Times New Roman" w:cs="Times New Roman"/>
                <w:color w:val="000000"/>
                <w:szCs w:val="24"/>
                <w:lang w:eastAsia="pl-PL"/>
              </w:rPr>
              <w:t xml:space="preserve">. </w:t>
            </w:r>
            <w:proofErr w:type="spellStart"/>
            <w:r>
              <w:rPr>
                <w:rFonts w:eastAsia="Times New Roman" w:cs="Times New Roman"/>
                <w:color w:val="000000"/>
                <w:szCs w:val="24"/>
                <w:lang w:eastAsia="pl-PL"/>
              </w:rPr>
              <w:t>dev</w:t>
            </w:r>
            <w:proofErr w:type="spellEnd"/>
            <w:r>
              <w:rPr>
                <w:rFonts w:eastAsia="Times New Roman" w:cs="Times New Roman"/>
                <w:color w:val="000000"/>
                <w:szCs w:val="24"/>
                <w:lang w:eastAsia="pl-PL"/>
              </w:rPr>
              <w:t>.</w:t>
            </w:r>
          </w:p>
        </w:tc>
      </w:tr>
      <w:tr w:rsidR="004F7BAE" w:rsidRPr="003E540C" w:rsidTr="000B3FE9">
        <w:trPr>
          <w:trHeight w:val="285"/>
          <w:jc w:val="center"/>
        </w:trPr>
        <w:tc>
          <w:tcPr>
            <w:tcW w:w="320" w:type="dxa"/>
            <w:vMerge/>
            <w:tcBorders>
              <w:top w:val="single" w:sz="4" w:space="0" w:color="auto"/>
              <w:left w:val="single" w:sz="4" w:space="0" w:color="auto"/>
              <w:bottom w:val="single" w:sz="4" w:space="0" w:color="000000"/>
              <w:right w:val="nil"/>
            </w:tcBorders>
            <w:vAlign w:val="center"/>
            <w:hideMark/>
          </w:tcPr>
          <w:p w:rsidR="004F7BAE" w:rsidRPr="003E540C" w:rsidRDefault="004F7BAE" w:rsidP="000B3FE9">
            <w:pPr>
              <w:jc w:val="left"/>
              <w:rPr>
                <w:rFonts w:eastAsia="Times New Roman" w:cs="Times New Roman"/>
                <w:color w:val="000000"/>
                <w:szCs w:val="24"/>
                <w:lang w:eastAsia="pl-PL"/>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19,55%</w:t>
            </w:r>
          </w:p>
        </w:tc>
        <w:tc>
          <w:tcPr>
            <w:tcW w:w="184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80,45%</w:t>
            </w:r>
          </w:p>
        </w:tc>
        <w:tc>
          <w:tcPr>
            <w:tcW w:w="108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5,74%</w:t>
            </w:r>
          </w:p>
        </w:tc>
      </w:tr>
      <w:tr w:rsidR="004F7BAE" w:rsidRPr="003E540C" w:rsidTr="000B3FE9">
        <w:trPr>
          <w:trHeight w:val="285"/>
          <w:jc w:val="center"/>
        </w:trPr>
        <w:tc>
          <w:tcPr>
            <w:tcW w:w="320" w:type="dxa"/>
            <w:vMerge w:val="restart"/>
            <w:tcBorders>
              <w:top w:val="nil"/>
              <w:left w:val="single" w:sz="4" w:space="0" w:color="auto"/>
              <w:bottom w:val="single" w:sz="4" w:space="0" w:color="000000"/>
              <w:right w:val="nil"/>
            </w:tcBorders>
            <w:shd w:val="clear" w:color="auto" w:fill="auto"/>
            <w:noWrap/>
            <w:vAlign w:val="center"/>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2.</w:t>
            </w:r>
          </w:p>
        </w:tc>
        <w:tc>
          <w:tcPr>
            <w:tcW w:w="1360" w:type="dxa"/>
            <w:tcBorders>
              <w:top w:val="nil"/>
              <w:left w:val="single" w:sz="4" w:space="0" w:color="auto"/>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color w:val="000000"/>
                <w:szCs w:val="24"/>
                <w:lang w:eastAsia="pl-PL"/>
              </w:rPr>
            </w:pPr>
            <w:r w:rsidRPr="003E540C">
              <w:rPr>
                <w:rFonts w:cs="Times New Roman"/>
                <w:szCs w:val="24"/>
                <w:lang w:val="en-GB"/>
              </w:rPr>
              <w:t>WIG</w:t>
            </w:r>
          </w:p>
        </w:tc>
        <w:tc>
          <w:tcPr>
            <w:tcW w:w="184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color w:val="000000"/>
                <w:szCs w:val="24"/>
                <w:lang w:eastAsia="pl-PL"/>
              </w:rPr>
            </w:pPr>
            <w:r w:rsidRPr="003E540C">
              <w:rPr>
                <w:rFonts w:cs="Times New Roman"/>
                <w:szCs w:val="24"/>
                <w:lang w:val="en-GB"/>
              </w:rPr>
              <w:t>WRD</w:t>
            </w:r>
            <w:r>
              <w:rPr>
                <w:rFonts w:cs="Times New Roman"/>
                <w:szCs w:val="24"/>
                <w:lang w:val="en-GB"/>
              </w:rPr>
              <w:t>'</w:t>
            </w:r>
          </w:p>
        </w:tc>
        <w:tc>
          <w:tcPr>
            <w:tcW w:w="108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p>
        </w:tc>
      </w:tr>
      <w:tr w:rsidR="004F7BAE" w:rsidRPr="003E540C" w:rsidTr="000B3FE9">
        <w:trPr>
          <w:trHeight w:val="285"/>
          <w:jc w:val="center"/>
        </w:trPr>
        <w:tc>
          <w:tcPr>
            <w:tcW w:w="320" w:type="dxa"/>
            <w:vMerge/>
            <w:tcBorders>
              <w:top w:val="nil"/>
              <w:left w:val="single" w:sz="4" w:space="0" w:color="auto"/>
              <w:bottom w:val="single" w:sz="4" w:space="0" w:color="000000"/>
              <w:right w:val="nil"/>
            </w:tcBorders>
            <w:vAlign w:val="center"/>
            <w:hideMark/>
          </w:tcPr>
          <w:p w:rsidR="004F7BAE" w:rsidRPr="003E540C" w:rsidRDefault="004F7BAE" w:rsidP="000B3FE9">
            <w:pPr>
              <w:jc w:val="left"/>
              <w:rPr>
                <w:rFonts w:eastAsia="Times New Roman" w:cs="Times New Roman"/>
                <w:color w:val="000000"/>
                <w:szCs w:val="24"/>
                <w:lang w:eastAsia="pl-PL"/>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0,00%</w:t>
            </w:r>
          </w:p>
        </w:tc>
        <w:tc>
          <w:tcPr>
            <w:tcW w:w="184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5,02%</w:t>
            </w:r>
          </w:p>
        </w:tc>
      </w:tr>
      <w:tr w:rsidR="004F7BAE" w:rsidRPr="003E540C" w:rsidTr="000B3FE9">
        <w:trPr>
          <w:trHeight w:val="285"/>
          <w:jc w:val="center"/>
        </w:trPr>
        <w:tc>
          <w:tcPr>
            <w:tcW w:w="320" w:type="dxa"/>
            <w:vMerge w:val="restart"/>
            <w:tcBorders>
              <w:top w:val="nil"/>
              <w:left w:val="single" w:sz="4" w:space="0" w:color="auto"/>
              <w:bottom w:val="single" w:sz="4" w:space="0" w:color="000000"/>
              <w:right w:val="nil"/>
            </w:tcBorders>
            <w:shd w:val="clear" w:color="auto" w:fill="auto"/>
            <w:noWrap/>
            <w:vAlign w:val="center"/>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3.</w:t>
            </w:r>
          </w:p>
        </w:tc>
        <w:tc>
          <w:tcPr>
            <w:tcW w:w="1360" w:type="dxa"/>
            <w:tcBorders>
              <w:top w:val="nil"/>
              <w:left w:val="single" w:sz="4" w:space="0" w:color="auto"/>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color w:val="000000"/>
                <w:szCs w:val="24"/>
                <w:lang w:eastAsia="pl-PL"/>
              </w:rPr>
            </w:pPr>
            <w:r w:rsidRPr="003E540C">
              <w:rPr>
                <w:rFonts w:cs="Times New Roman"/>
                <w:szCs w:val="24"/>
                <w:lang w:val="en-GB"/>
              </w:rPr>
              <w:t>WIG</w:t>
            </w:r>
          </w:p>
        </w:tc>
        <w:tc>
          <w:tcPr>
            <w:tcW w:w="184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color w:val="000000"/>
                <w:szCs w:val="24"/>
                <w:lang w:eastAsia="pl-PL"/>
              </w:rPr>
            </w:pPr>
            <w:r w:rsidRPr="003E540C">
              <w:rPr>
                <w:rFonts w:cs="Times New Roman"/>
                <w:szCs w:val="24"/>
                <w:lang w:val="en-GB"/>
              </w:rPr>
              <w:t>EMU</w:t>
            </w:r>
            <w:r>
              <w:rPr>
                <w:rFonts w:cs="Times New Roman"/>
                <w:szCs w:val="24"/>
                <w:lang w:val="en-GB"/>
              </w:rPr>
              <w:t>''</w:t>
            </w:r>
          </w:p>
        </w:tc>
        <w:tc>
          <w:tcPr>
            <w:tcW w:w="108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p>
        </w:tc>
      </w:tr>
      <w:tr w:rsidR="004F7BAE" w:rsidRPr="003E540C" w:rsidTr="000B3FE9">
        <w:trPr>
          <w:trHeight w:val="285"/>
          <w:jc w:val="center"/>
        </w:trPr>
        <w:tc>
          <w:tcPr>
            <w:tcW w:w="320" w:type="dxa"/>
            <w:vMerge/>
            <w:tcBorders>
              <w:top w:val="nil"/>
              <w:left w:val="single" w:sz="4" w:space="0" w:color="auto"/>
              <w:bottom w:val="single" w:sz="4" w:space="0" w:color="000000"/>
              <w:right w:val="nil"/>
            </w:tcBorders>
            <w:vAlign w:val="center"/>
            <w:hideMark/>
          </w:tcPr>
          <w:p w:rsidR="004F7BAE" w:rsidRPr="003E540C" w:rsidRDefault="004F7BAE" w:rsidP="000B3FE9">
            <w:pPr>
              <w:jc w:val="left"/>
              <w:rPr>
                <w:rFonts w:eastAsia="Times New Roman" w:cs="Times New Roman"/>
                <w:color w:val="000000"/>
                <w:szCs w:val="24"/>
                <w:lang w:eastAsia="pl-PL"/>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56,45%</w:t>
            </w:r>
          </w:p>
        </w:tc>
        <w:tc>
          <w:tcPr>
            <w:tcW w:w="184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43,55%</w:t>
            </w:r>
          </w:p>
        </w:tc>
        <w:tc>
          <w:tcPr>
            <w:tcW w:w="108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5,83%</w:t>
            </w:r>
          </w:p>
        </w:tc>
      </w:tr>
      <w:tr w:rsidR="004F7BAE" w:rsidRPr="003E540C" w:rsidTr="000B3FE9">
        <w:trPr>
          <w:trHeight w:val="285"/>
          <w:jc w:val="center"/>
        </w:trPr>
        <w:tc>
          <w:tcPr>
            <w:tcW w:w="320" w:type="dxa"/>
            <w:vMerge w:val="restart"/>
            <w:tcBorders>
              <w:top w:val="nil"/>
              <w:left w:val="single" w:sz="4" w:space="0" w:color="auto"/>
              <w:bottom w:val="single" w:sz="4" w:space="0" w:color="000000"/>
              <w:right w:val="nil"/>
            </w:tcBorders>
            <w:shd w:val="clear" w:color="auto" w:fill="auto"/>
            <w:noWrap/>
            <w:vAlign w:val="center"/>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4.</w:t>
            </w:r>
          </w:p>
        </w:tc>
        <w:tc>
          <w:tcPr>
            <w:tcW w:w="1360" w:type="dxa"/>
            <w:tcBorders>
              <w:top w:val="nil"/>
              <w:left w:val="single" w:sz="4" w:space="0" w:color="auto"/>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color w:val="000000"/>
                <w:szCs w:val="24"/>
                <w:lang w:eastAsia="pl-PL"/>
              </w:rPr>
            </w:pPr>
            <w:r w:rsidRPr="003E540C">
              <w:rPr>
                <w:rFonts w:cs="Times New Roman"/>
                <w:szCs w:val="24"/>
                <w:lang w:val="en-GB"/>
              </w:rPr>
              <w:t>WIG</w:t>
            </w:r>
          </w:p>
        </w:tc>
        <w:tc>
          <w:tcPr>
            <w:tcW w:w="184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color w:val="000000"/>
                <w:szCs w:val="24"/>
                <w:lang w:eastAsia="pl-PL"/>
              </w:rPr>
            </w:pPr>
            <w:r w:rsidRPr="003E540C">
              <w:rPr>
                <w:rFonts w:cs="Times New Roman"/>
                <w:szCs w:val="24"/>
                <w:lang w:val="en-GB"/>
              </w:rPr>
              <w:t>WRD</w:t>
            </w:r>
            <w:r>
              <w:rPr>
                <w:rFonts w:cs="Times New Roman"/>
                <w:szCs w:val="24"/>
                <w:lang w:val="en-GB"/>
              </w:rPr>
              <w:t>''</w:t>
            </w:r>
          </w:p>
        </w:tc>
        <w:tc>
          <w:tcPr>
            <w:tcW w:w="108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p>
        </w:tc>
      </w:tr>
      <w:tr w:rsidR="004F7BAE" w:rsidRPr="003E540C" w:rsidTr="000B3FE9">
        <w:trPr>
          <w:trHeight w:val="285"/>
          <w:jc w:val="center"/>
        </w:trPr>
        <w:tc>
          <w:tcPr>
            <w:tcW w:w="320" w:type="dxa"/>
            <w:vMerge/>
            <w:tcBorders>
              <w:top w:val="nil"/>
              <w:left w:val="single" w:sz="4" w:space="0" w:color="auto"/>
              <w:bottom w:val="single" w:sz="4" w:space="0" w:color="000000"/>
              <w:right w:val="nil"/>
            </w:tcBorders>
            <w:vAlign w:val="center"/>
            <w:hideMark/>
          </w:tcPr>
          <w:p w:rsidR="004F7BAE" w:rsidRPr="003E540C" w:rsidRDefault="004F7BAE" w:rsidP="000B3FE9">
            <w:pPr>
              <w:jc w:val="left"/>
              <w:rPr>
                <w:rFonts w:eastAsia="Times New Roman" w:cs="Times New Roman"/>
                <w:color w:val="000000"/>
                <w:szCs w:val="24"/>
                <w:lang w:eastAsia="pl-PL"/>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57,55%</w:t>
            </w:r>
          </w:p>
        </w:tc>
        <w:tc>
          <w:tcPr>
            <w:tcW w:w="184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42,45%</w:t>
            </w:r>
          </w:p>
        </w:tc>
        <w:tc>
          <w:tcPr>
            <w:tcW w:w="108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5,87%</w:t>
            </w:r>
          </w:p>
        </w:tc>
      </w:tr>
    </w:tbl>
    <w:p w:rsidR="004F7BAE" w:rsidRPr="003E540C" w:rsidRDefault="004F7BAE" w:rsidP="004F7BAE">
      <w:pPr>
        <w:pStyle w:val="Legenda"/>
        <w:ind w:left="1416"/>
        <w:rPr>
          <w:rFonts w:eastAsia="Calibri"/>
          <w:b w:val="0"/>
          <w:sz w:val="24"/>
          <w:szCs w:val="24"/>
          <w:lang w:val="en-GB"/>
        </w:rPr>
      </w:pPr>
      <w:r>
        <w:rPr>
          <w:b w:val="0"/>
          <w:sz w:val="24"/>
          <w:szCs w:val="24"/>
          <w:lang w:val="en-GB"/>
        </w:rPr>
        <w:t>Source</w:t>
      </w:r>
      <w:r w:rsidRPr="003E540C">
        <w:rPr>
          <w:b w:val="0"/>
          <w:sz w:val="24"/>
          <w:szCs w:val="24"/>
          <w:lang w:val="en-GB"/>
        </w:rPr>
        <w:t>: own study.</w:t>
      </w: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Default="004F7BAE" w:rsidP="004F7BAE">
      <w:pPr>
        <w:autoSpaceDE w:val="0"/>
        <w:autoSpaceDN w:val="0"/>
        <w:adjustRightInd w:val="0"/>
        <w:spacing w:line="480" w:lineRule="auto"/>
        <w:ind w:firstLine="708"/>
        <w:rPr>
          <w:rFonts w:cs="Times New Roman"/>
          <w:szCs w:val="24"/>
          <w:lang w:val="en-GB"/>
        </w:rPr>
      </w:pPr>
    </w:p>
    <w:p w:rsidR="004F7BAE" w:rsidRPr="003E540C" w:rsidRDefault="004F7BAE" w:rsidP="004F7BAE">
      <w:pPr>
        <w:autoSpaceDE w:val="0"/>
        <w:autoSpaceDN w:val="0"/>
        <w:adjustRightInd w:val="0"/>
        <w:spacing w:line="480" w:lineRule="auto"/>
        <w:ind w:firstLine="708"/>
        <w:rPr>
          <w:rFonts w:cs="Times New Roman"/>
          <w:szCs w:val="24"/>
          <w:lang w:val="en-GB"/>
        </w:rPr>
      </w:pPr>
    </w:p>
    <w:p w:rsidR="004F7BAE" w:rsidRPr="003E540C" w:rsidRDefault="004F7BAE" w:rsidP="004F7BAE">
      <w:pPr>
        <w:autoSpaceDE w:val="0"/>
        <w:autoSpaceDN w:val="0"/>
        <w:adjustRightInd w:val="0"/>
        <w:spacing w:line="480" w:lineRule="auto"/>
        <w:ind w:firstLine="708"/>
        <w:jc w:val="center"/>
        <w:rPr>
          <w:rFonts w:cs="Times New Roman"/>
          <w:b/>
          <w:szCs w:val="24"/>
          <w:lang w:val="en-US"/>
        </w:rPr>
      </w:pPr>
      <w:r w:rsidRPr="003E540C">
        <w:rPr>
          <w:rFonts w:cs="Times New Roman"/>
          <w:b/>
          <w:szCs w:val="24"/>
          <w:lang w:val="en-US"/>
        </w:rPr>
        <w:lastRenderedPageBreak/>
        <w:t xml:space="preserve">Table 7. </w:t>
      </w:r>
      <w:r w:rsidRPr="00F15CB6">
        <w:rPr>
          <w:rFonts w:cs="Times New Roman"/>
          <w:szCs w:val="24"/>
          <w:lang w:val="en-US"/>
        </w:rPr>
        <w:t>MVP portfolios (short sale allowed)</w:t>
      </w:r>
    </w:p>
    <w:tbl>
      <w:tblPr>
        <w:tblW w:w="4560" w:type="dxa"/>
        <w:jc w:val="center"/>
        <w:tblInd w:w="55" w:type="dxa"/>
        <w:tblCellMar>
          <w:left w:w="70" w:type="dxa"/>
          <w:right w:w="70" w:type="dxa"/>
        </w:tblCellMar>
        <w:tblLook w:val="04A0" w:firstRow="1" w:lastRow="0" w:firstColumn="1" w:lastColumn="0" w:noHBand="0" w:noVBand="1"/>
      </w:tblPr>
      <w:tblGrid>
        <w:gridCol w:w="320"/>
        <w:gridCol w:w="1360"/>
        <w:gridCol w:w="1840"/>
        <w:gridCol w:w="1080"/>
      </w:tblGrid>
      <w:tr w:rsidR="004F7BAE" w:rsidRPr="003E540C" w:rsidTr="000B3FE9">
        <w:trPr>
          <w:trHeight w:val="285"/>
          <w:jc w:val="center"/>
        </w:trPr>
        <w:tc>
          <w:tcPr>
            <w:tcW w:w="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1.</w:t>
            </w:r>
          </w:p>
        </w:tc>
        <w:tc>
          <w:tcPr>
            <w:tcW w:w="1360" w:type="dxa"/>
            <w:tcBorders>
              <w:top w:val="single" w:sz="4" w:space="0" w:color="auto"/>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r w:rsidRPr="003E540C">
              <w:rPr>
                <w:rFonts w:cs="Times New Roman"/>
                <w:szCs w:val="24"/>
                <w:lang w:val="en-GB"/>
              </w:rPr>
              <w:t>WIG</w:t>
            </w:r>
          </w:p>
        </w:tc>
        <w:tc>
          <w:tcPr>
            <w:tcW w:w="1840" w:type="dxa"/>
            <w:tcBorders>
              <w:top w:val="single" w:sz="4" w:space="0" w:color="auto"/>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r w:rsidRPr="003E540C">
              <w:rPr>
                <w:rFonts w:cs="Times New Roman"/>
                <w:szCs w:val="24"/>
                <w:lang w:val="en-GB"/>
              </w:rPr>
              <w:t>EMU</w:t>
            </w:r>
            <w:r>
              <w:rPr>
                <w:rFonts w:cs="Times New Roman"/>
                <w:szCs w:val="24"/>
                <w:lang w:val="en-GB"/>
              </w:rPr>
              <w:t>'</w:t>
            </w:r>
          </w:p>
        </w:tc>
        <w:tc>
          <w:tcPr>
            <w:tcW w:w="1080" w:type="dxa"/>
            <w:tcBorders>
              <w:top w:val="single" w:sz="4" w:space="0" w:color="auto"/>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proofErr w:type="spellStart"/>
            <w:r>
              <w:rPr>
                <w:rFonts w:eastAsia="Times New Roman" w:cs="Times New Roman"/>
                <w:color w:val="000000"/>
                <w:szCs w:val="24"/>
                <w:lang w:eastAsia="pl-PL"/>
              </w:rPr>
              <w:t>std</w:t>
            </w:r>
            <w:proofErr w:type="spellEnd"/>
            <w:r>
              <w:rPr>
                <w:rFonts w:eastAsia="Times New Roman" w:cs="Times New Roman"/>
                <w:color w:val="000000"/>
                <w:szCs w:val="24"/>
                <w:lang w:eastAsia="pl-PL"/>
              </w:rPr>
              <w:t xml:space="preserve">. </w:t>
            </w:r>
            <w:proofErr w:type="spellStart"/>
            <w:r>
              <w:rPr>
                <w:rFonts w:eastAsia="Times New Roman" w:cs="Times New Roman"/>
                <w:color w:val="000000"/>
                <w:szCs w:val="24"/>
                <w:lang w:eastAsia="pl-PL"/>
              </w:rPr>
              <w:t>dev</w:t>
            </w:r>
            <w:proofErr w:type="spellEnd"/>
            <w:r>
              <w:rPr>
                <w:rFonts w:eastAsia="Times New Roman" w:cs="Times New Roman"/>
                <w:color w:val="000000"/>
                <w:szCs w:val="24"/>
                <w:lang w:eastAsia="pl-PL"/>
              </w:rPr>
              <w:t>.</w:t>
            </w:r>
          </w:p>
        </w:tc>
      </w:tr>
      <w:tr w:rsidR="004F7BAE" w:rsidRPr="003E540C" w:rsidTr="000B3FE9">
        <w:trPr>
          <w:trHeight w:val="285"/>
          <w:jc w:val="center"/>
        </w:trPr>
        <w:tc>
          <w:tcPr>
            <w:tcW w:w="280" w:type="dxa"/>
            <w:vMerge/>
            <w:tcBorders>
              <w:top w:val="single" w:sz="4" w:space="0" w:color="auto"/>
              <w:left w:val="single" w:sz="4" w:space="0" w:color="auto"/>
              <w:bottom w:val="single" w:sz="4" w:space="0" w:color="000000"/>
              <w:right w:val="single" w:sz="4" w:space="0" w:color="auto"/>
            </w:tcBorders>
            <w:vAlign w:val="center"/>
            <w:hideMark/>
          </w:tcPr>
          <w:p w:rsidR="004F7BAE" w:rsidRPr="003E540C" w:rsidRDefault="004F7BAE" w:rsidP="000B3FE9">
            <w:pPr>
              <w:jc w:val="left"/>
              <w:rPr>
                <w:rFonts w:eastAsia="Times New Roman" w:cs="Times New Roman"/>
                <w:color w:val="000000"/>
                <w:szCs w:val="24"/>
                <w:lang w:eastAsia="pl-PL"/>
              </w:rPr>
            </w:pPr>
          </w:p>
        </w:tc>
        <w:tc>
          <w:tcPr>
            <w:tcW w:w="136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19,55%</w:t>
            </w:r>
          </w:p>
        </w:tc>
        <w:tc>
          <w:tcPr>
            <w:tcW w:w="184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80,45%</w:t>
            </w:r>
          </w:p>
        </w:tc>
        <w:tc>
          <w:tcPr>
            <w:tcW w:w="108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5,74%</w:t>
            </w:r>
          </w:p>
        </w:tc>
      </w:tr>
      <w:tr w:rsidR="004F7BAE" w:rsidRPr="003E540C" w:rsidTr="000B3FE9">
        <w:trPr>
          <w:trHeight w:val="285"/>
          <w:jc w:val="center"/>
        </w:trPr>
        <w:tc>
          <w:tcPr>
            <w:tcW w:w="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2.</w:t>
            </w:r>
          </w:p>
        </w:tc>
        <w:tc>
          <w:tcPr>
            <w:tcW w:w="136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r w:rsidRPr="003E540C">
              <w:rPr>
                <w:rFonts w:cs="Times New Roman"/>
                <w:szCs w:val="24"/>
                <w:lang w:val="en-GB"/>
              </w:rPr>
              <w:t>WIG</w:t>
            </w:r>
          </w:p>
        </w:tc>
        <w:tc>
          <w:tcPr>
            <w:tcW w:w="184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r w:rsidRPr="003E540C">
              <w:rPr>
                <w:rFonts w:cs="Times New Roman"/>
                <w:szCs w:val="24"/>
                <w:lang w:val="en-GB"/>
              </w:rPr>
              <w:t>WRD</w:t>
            </w:r>
            <w:r>
              <w:rPr>
                <w:rFonts w:cs="Times New Roman"/>
                <w:szCs w:val="24"/>
                <w:lang w:val="en-GB"/>
              </w:rPr>
              <w:t>'</w:t>
            </w:r>
          </w:p>
        </w:tc>
        <w:tc>
          <w:tcPr>
            <w:tcW w:w="108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p>
        </w:tc>
      </w:tr>
      <w:tr w:rsidR="004F7BAE" w:rsidRPr="003E540C" w:rsidTr="000B3FE9">
        <w:trPr>
          <w:trHeight w:val="285"/>
          <w:jc w:val="center"/>
        </w:trPr>
        <w:tc>
          <w:tcPr>
            <w:tcW w:w="280" w:type="dxa"/>
            <w:vMerge/>
            <w:tcBorders>
              <w:top w:val="nil"/>
              <w:left w:val="single" w:sz="4" w:space="0" w:color="auto"/>
              <w:bottom w:val="single" w:sz="4" w:space="0" w:color="000000"/>
              <w:right w:val="single" w:sz="4" w:space="0" w:color="auto"/>
            </w:tcBorders>
            <w:vAlign w:val="center"/>
            <w:hideMark/>
          </w:tcPr>
          <w:p w:rsidR="004F7BAE" w:rsidRPr="003E540C" w:rsidRDefault="004F7BAE" w:rsidP="000B3FE9">
            <w:pPr>
              <w:jc w:val="left"/>
              <w:rPr>
                <w:rFonts w:eastAsia="Times New Roman" w:cs="Times New Roman"/>
                <w:color w:val="000000"/>
                <w:szCs w:val="24"/>
                <w:lang w:eastAsia="pl-PL"/>
              </w:rPr>
            </w:pPr>
          </w:p>
        </w:tc>
        <w:tc>
          <w:tcPr>
            <w:tcW w:w="136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-6,13%</w:t>
            </w:r>
          </w:p>
        </w:tc>
        <w:tc>
          <w:tcPr>
            <w:tcW w:w="184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106,13%</w:t>
            </w:r>
          </w:p>
        </w:tc>
        <w:tc>
          <w:tcPr>
            <w:tcW w:w="108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5,01%</w:t>
            </w:r>
          </w:p>
        </w:tc>
      </w:tr>
      <w:tr w:rsidR="004F7BAE" w:rsidRPr="003E540C" w:rsidTr="000B3FE9">
        <w:trPr>
          <w:trHeight w:val="285"/>
          <w:jc w:val="center"/>
        </w:trPr>
        <w:tc>
          <w:tcPr>
            <w:tcW w:w="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3.</w:t>
            </w:r>
          </w:p>
        </w:tc>
        <w:tc>
          <w:tcPr>
            <w:tcW w:w="136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r w:rsidRPr="003E540C">
              <w:rPr>
                <w:rFonts w:cs="Times New Roman"/>
                <w:szCs w:val="24"/>
                <w:lang w:val="en-GB"/>
              </w:rPr>
              <w:t>WIG</w:t>
            </w:r>
          </w:p>
        </w:tc>
        <w:tc>
          <w:tcPr>
            <w:tcW w:w="184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r w:rsidRPr="003E540C">
              <w:rPr>
                <w:rFonts w:cs="Times New Roman"/>
                <w:szCs w:val="24"/>
                <w:lang w:val="en-GB"/>
              </w:rPr>
              <w:t>EMU</w:t>
            </w:r>
            <w:r>
              <w:rPr>
                <w:rFonts w:cs="Times New Roman"/>
                <w:szCs w:val="24"/>
                <w:lang w:val="en-GB"/>
              </w:rPr>
              <w:t>''</w:t>
            </w:r>
          </w:p>
        </w:tc>
        <w:tc>
          <w:tcPr>
            <w:tcW w:w="108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p>
        </w:tc>
      </w:tr>
      <w:tr w:rsidR="004F7BAE" w:rsidRPr="003E540C" w:rsidTr="000B3FE9">
        <w:trPr>
          <w:trHeight w:val="285"/>
          <w:jc w:val="center"/>
        </w:trPr>
        <w:tc>
          <w:tcPr>
            <w:tcW w:w="280" w:type="dxa"/>
            <w:vMerge/>
            <w:tcBorders>
              <w:top w:val="nil"/>
              <w:left w:val="single" w:sz="4" w:space="0" w:color="auto"/>
              <w:bottom w:val="single" w:sz="4" w:space="0" w:color="000000"/>
              <w:right w:val="single" w:sz="4" w:space="0" w:color="auto"/>
            </w:tcBorders>
            <w:vAlign w:val="center"/>
            <w:hideMark/>
          </w:tcPr>
          <w:p w:rsidR="004F7BAE" w:rsidRPr="003E540C" w:rsidRDefault="004F7BAE" w:rsidP="000B3FE9">
            <w:pPr>
              <w:jc w:val="left"/>
              <w:rPr>
                <w:rFonts w:eastAsia="Times New Roman" w:cs="Times New Roman"/>
                <w:color w:val="000000"/>
                <w:szCs w:val="24"/>
                <w:lang w:eastAsia="pl-PL"/>
              </w:rPr>
            </w:pPr>
          </w:p>
        </w:tc>
        <w:tc>
          <w:tcPr>
            <w:tcW w:w="136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56,45%</w:t>
            </w:r>
          </w:p>
        </w:tc>
        <w:tc>
          <w:tcPr>
            <w:tcW w:w="184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43,55%</w:t>
            </w:r>
          </w:p>
        </w:tc>
        <w:tc>
          <w:tcPr>
            <w:tcW w:w="108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5,83%</w:t>
            </w:r>
          </w:p>
        </w:tc>
      </w:tr>
      <w:tr w:rsidR="004F7BAE" w:rsidRPr="003E540C" w:rsidTr="000B3FE9">
        <w:trPr>
          <w:trHeight w:val="285"/>
          <w:jc w:val="center"/>
        </w:trPr>
        <w:tc>
          <w:tcPr>
            <w:tcW w:w="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4.</w:t>
            </w:r>
          </w:p>
        </w:tc>
        <w:tc>
          <w:tcPr>
            <w:tcW w:w="136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r w:rsidRPr="003E540C">
              <w:rPr>
                <w:rFonts w:cs="Times New Roman"/>
                <w:szCs w:val="24"/>
                <w:lang w:val="en-GB"/>
              </w:rPr>
              <w:t>WIG</w:t>
            </w:r>
          </w:p>
        </w:tc>
        <w:tc>
          <w:tcPr>
            <w:tcW w:w="184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r w:rsidRPr="003E540C">
              <w:rPr>
                <w:rFonts w:cs="Times New Roman"/>
                <w:szCs w:val="24"/>
                <w:lang w:val="en-GB"/>
              </w:rPr>
              <w:t>WRD</w:t>
            </w:r>
            <w:r>
              <w:rPr>
                <w:rFonts w:cs="Times New Roman"/>
                <w:szCs w:val="24"/>
                <w:lang w:val="en-GB"/>
              </w:rPr>
              <w:t>''</w:t>
            </w:r>
          </w:p>
        </w:tc>
        <w:tc>
          <w:tcPr>
            <w:tcW w:w="1080" w:type="dxa"/>
            <w:tcBorders>
              <w:top w:val="nil"/>
              <w:left w:val="nil"/>
              <w:bottom w:val="nil"/>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i/>
                <w:iCs/>
                <w:color w:val="000000"/>
                <w:szCs w:val="24"/>
                <w:lang w:eastAsia="pl-PL"/>
              </w:rPr>
            </w:pPr>
          </w:p>
        </w:tc>
      </w:tr>
      <w:tr w:rsidR="004F7BAE" w:rsidRPr="003E540C" w:rsidTr="000B3FE9">
        <w:trPr>
          <w:trHeight w:val="285"/>
          <w:jc w:val="center"/>
        </w:trPr>
        <w:tc>
          <w:tcPr>
            <w:tcW w:w="280" w:type="dxa"/>
            <w:vMerge/>
            <w:tcBorders>
              <w:top w:val="nil"/>
              <w:left w:val="single" w:sz="4" w:space="0" w:color="auto"/>
              <w:bottom w:val="single" w:sz="4" w:space="0" w:color="000000"/>
              <w:right w:val="single" w:sz="4" w:space="0" w:color="auto"/>
            </w:tcBorders>
            <w:vAlign w:val="center"/>
            <w:hideMark/>
          </w:tcPr>
          <w:p w:rsidR="004F7BAE" w:rsidRPr="003E540C" w:rsidRDefault="004F7BAE" w:rsidP="000B3FE9">
            <w:pPr>
              <w:jc w:val="left"/>
              <w:rPr>
                <w:rFonts w:eastAsia="Times New Roman" w:cs="Times New Roman"/>
                <w:color w:val="000000"/>
                <w:szCs w:val="24"/>
                <w:lang w:eastAsia="pl-PL"/>
              </w:rPr>
            </w:pPr>
          </w:p>
        </w:tc>
        <w:tc>
          <w:tcPr>
            <w:tcW w:w="136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57,55%</w:t>
            </w:r>
          </w:p>
        </w:tc>
        <w:tc>
          <w:tcPr>
            <w:tcW w:w="184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42,45%</w:t>
            </w:r>
          </w:p>
        </w:tc>
        <w:tc>
          <w:tcPr>
            <w:tcW w:w="1080" w:type="dxa"/>
            <w:tcBorders>
              <w:top w:val="nil"/>
              <w:left w:val="nil"/>
              <w:bottom w:val="single" w:sz="4" w:space="0" w:color="auto"/>
              <w:right w:val="single" w:sz="4" w:space="0" w:color="auto"/>
            </w:tcBorders>
            <w:shd w:val="clear" w:color="auto" w:fill="auto"/>
            <w:noWrap/>
            <w:vAlign w:val="bottom"/>
            <w:hideMark/>
          </w:tcPr>
          <w:p w:rsidR="004F7BAE" w:rsidRPr="003E540C" w:rsidRDefault="004F7BAE" w:rsidP="000B3FE9">
            <w:pPr>
              <w:jc w:val="center"/>
              <w:rPr>
                <w:rFonts w:eastAsia="Times New Roman" w:cs="Times New Roman"/>
                <w:color w:val="000000"/>
                <w:szCs w:val="24"/>
                <w:lang w:eastAsia="pl-PL"/>
              </w:rPr>
            </w:pPr>
            <w:r w:rsidRPr="003E540C">
              <w:rPr>
                <w:rFonts w:eastAsia="Times New Roman" w:cs="Times New Roman"/>
                <w:color w:val="000000"/>
                <w:szCs w:val="24"/>
                <w:lang w:eastAsia="pl-PL"/>
              </w:rPr>
              <w:t>5,87%</w:t>
            </w:r>
          </w:p>
        </w:tc>
      </w:tr>
    </w:tbl>
    <w:p w:rsidR="004F7BAE" w:rsidRPr="003E540C" w:rsidRDefault="004F7BAE" w:rsidP="004F7BAE">
      <w:pPr>
        <w:pStyle w:val="Legenda"/>
        <w:ind w:firstLine="708"/>
        <w:rPr>
          <w:rFonts w:eastAsia="Calibri"/>
          <w:b w:val="0"/>
          <w:sz w:val="24"/>
          <w:szCs w:val="24"/>
          <w:lang w:val="en-GB"/>
        </w:rPr>
      </w:pPr>
      <w:r>
        <w:rPr>
          <w:b w:val="0"/>
          <w:sz w:val="24"/>
          <w:szCs w:val="24"/>
          <w:lang w:val="en-GB"/>
        </w:rPr>
        <w:t>Source</w:t>
      </w:r>
      <w:r w:rsidRPr="003E540C">
        <w:rPr>
          <w:b w:val="0"/>
          <w:sz w:val="24"/>
          <w:szCs w:val="24"/>
          <w:lang w:val="en-GB"/>
        </w:rPr>
        <w:t>: own study.</w:t>
      </w: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Default="004F7BAE">
      <w:pPr>
        <w:spacing w:line="480" w:lineRule="auto"/>
        <w:rPr>
          <w:rFonts w:cs="Times New Roman"/>
          <w:szCs w:val="24"/>
          <w:lang w:val="en-GB"/>
        </w:rPr>
      </w:pPr>
    </w:p>
    <w:p w:rsidR="007A2AB6" w:rsidRDefault="007A2AB6">
      <w:pPr>
        <w:spacing w:line="480" w:lineRule="auto"/>
        <w:rPr>
          <w:rFonts w:cs="Times New Roman"/>
          <w:szCs w:val="24"/>
          <w:lang w:val="en-GB"/>
        </w:rPr>
      </w:pPr>
    </w:p>
    <w:p w:rsidR="004F7BAE" w:rsidRDefault="004F7BAE">
      <w:pPr>
        <w:spacing w:line="480" w:lineRule="auto"/>
        <w:rPr>
          <w:rFonts w:cs="Times New Roman"/>
          <w:szCs w:val="24"/>
          <w:lang w:val="en-GB"/>
        </w:rPr>
      </w:pPr>
    </w:p>
    <w:p w:rsidR="004F7BAE" w:rsidRPr="00393E28" w:rsidRDefault="004F7BAE" w:rsidP="004F7BAE">
      <w:pPr>
        <w:autoSpaceDE w:val="0"/>
        <w:autoSpaceDN w:val="0"/>
        <w:adjustRightInd w:val="0"/>
        <w:jc w:val="center"/>
        <w:rPr>
          <w:rFonts w:cs="Times New Roman"/>
          <w:b/>
          <w:szCs w:val="24"/>
          <w:lang w:val="en-US"/>
        </w:rPr>
      </w:pPr>
      <w:r w:rsidRPr="00393E28">
        <w:rPr>
          <w:rFonts w:cs="Times New Roman"/>
          <w:b/>
          <w:szCs w:val="24"/>
          <w:lang w:val="en-US"/>
        </w:rPr>
        <w:lastRenderedPageBreak/>
        <w:t xml:space="preserve">Table 8. </w:t>
      </w:r>
      <w:r w:rsidR="00134A6F">
        <w:rPr>
          <w:rFonts w:cs="Times New Roman"/>
          <w:szCs w:val="24"/>
          <w:lang w:val="en-US"/>
        </w:rPr>
        <w:t>Aggregate OPF</w:t>
      </w:r>
      <w:r w:rsidRPr="00DF1760">
        <w:rPr>
          <w:rFonts w:cs="Times New Roman"/>
          <w:szCs w:val="24"/>
          <w:lang w:val="en-US"/>
        </w:rPr>
        <w:t xml:space="preserve"> investment portfolio</w:t>
      </w:r>
      <w:r w:rsidR="00134A6F">
        <w:rPr>
          <w:rFonts w:cs="Times New Roman"/>
          <w:szCs w:val="24"/>
          <w:lang w:val="en-US"/>
        </w:rPr>
        <w:t>’s</w:t>
      </w:r>
      <w:r w:rsidRPr="00DF1760">
        <w:rPr>
          <w:rFonts w:cs="Times New Roman"/>
          <w:szCs w:val="24"/>
          <w:lang w:val="en-US"/>
        </w:rPr>
        <w:t xml:space="preserve"> structure  (in </w:t>
      </w:r>
      <w:proofErr w:type="spellStart"/>
      <w:r w:rsidRPr="00DF1760">
        <w:rPr>
          <w:rFonts w:cs="Times New Roman"/>
          <w:szCs w:val="24"/>
          <w:lang w:val="en-US"/>
        </w:rPr>
        <w:t>mln</w:t>
      </w:r>
      <w:proofErr w:type="spellEnd"/>
      <w:r w:rsidRPr="00DF1760">
        <w:rPr>
          <w:rFonts w:cs="Times New Roman"/>
          <w:szCs w:val="24"/>
          <w:lang w:val="en-US"/>
        </w:rPr>
        <w:t xml:space="preserve"> PLN) –  the selected numbers</w:t>
      </w:r>
    </w:p>
    <w:tbl>
      <w:tblPr>
        <w:tblW w:w="84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1704"/>
        <w:gridCol w:w="1821"/>
        <w:gridCol w:w="1821"/>
        <w:gridCol w:w="1711"/>
      </w:tblGrid>
      <w:tr w:rsidR="004F7BAE" w:rsidRPr="00B06345" w:rsidTr="000B3FE9">
        <w:trPr>
          <w:trHeight w:val="730"/>
        </w:trPr>
        <w:tc>
          <w:tcPr>
            <w:tcW w:w="1433" w:type="dxa"/>
            <w:shd w:val="clear" w:color="auto" w:fill="auto"/>
            <w:noWrap/>
            <w:vAlign w:val="center"/>
            <w:hideMark/>
          </w:tcPr>
          <w:p w:rsidR="004F7BAE" w:rsidRPr="00393E28" w:rsidRDefault="004F7BAE" w:rsidP="000B3FE9">
            <w:pPr>
              <w:jc w:val="center"/>
              <w:rPr>
                <w:rFonts w:eastAsia="Times New Roman" w:cs="Times New Roman"/>
                <w:szCs w:val="24"/>
                <w:lang w:eastAsia="pl-PL"/>
              </w:rPr>
            </w:pPr>
            <w:proofErr w:type="spellStart"/>
            <w:r w:rsidRPr="007C5383">
              <w:rPr>
                <w:rFonts w:eastAsia="Times New Roman" w:cs="Times New Roman"/>
                <w:szCs w:val="24"/>
                <w:lang w:eastAsia="pl-PL"/>
              </w:rPr>
              <w:t>Date</w:t>
            </w:r>
            <w:proofErr w:type="spellEnd"/>
          </w:p>
        </w:tc>
        <w:tc>
          <w:tcPr>
            <w:tcW w:w="1704"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 xml:space="preserve">Total </w:t>
            </w:r>
            <w:r w:rsidRPr="007C5383">
              <w:rPr>
                <w:rFonts w:eastAsia="Times New Roman" w:cs="Times New Roman"/>
                <w:bCs/>
                <w:szCs w:val="24"/>
                <w:lang w:eastAsia="pl-PL"/>
              </w:rPr>
              <w:t>portfolio</w:t>
            </w:r>
          </w:p>
        </w:tc>
        <w:tc>
          <w:tcPr>
            <w:tcW w:w="1821" w:type="dxa"/>
            <w:shd w:val="clear" w:color="auto" w:fill="auto"/>
            <w:vAlign w:val="center"/>
            <w:hideMark/>
          </w:tcPr>
          <w:p w:rsidR="004F7BAE" w:rsidRPr="00393E28" w:rsidRDefault="004F7BAE" w:rsidP="000B3FE9">
            <w:pPr>
              <w:jc w:val="center"/>
              <w:rPr>
                <w:rFonts w:eastAsia="Times New Roman" w:cs="Times New Roman"/>
                <w:bCs/>
                <w:szCs w:val="24"/>
                <w:lang w:val="en-GB" w:eastAsia="pl-PL"/>
              </w:rPr>
            </w:pPr>
            <w:r w:rsidRPr="00393E28">
              <w:rPr>
                <w:rFonts w:eastAsia="Times New Roman" w:cs="Times New Roman"/>
                <w:bCs/>
                <w:szCs w:val="24"/>
                <w:lang w:val="en-GB" w:eastAsia="pl-PL"/>
              </w:rPr>
              <w:br/>
              <w:t>of which foreign</w:t>
            </w:r>
            <w:r w:rsidRPr="007C5383">
              <w:rPr>
                <w:rFonts w:eastAsia="Times New Roman" w:cs="Times New Roman"/>
                <w:bCs/>
                <w:szCs w:val="24"/>
                <w:lang w:val="en-GB" w:eastAsia="pl-PL"/>
              </w:rPr>
              <w:t xml:space="preserve"> (foreign portfolio)</w:t>
            </w:r>
          </w:p>
        </w:tc>
        <w:tc>
          <w:tcPr>
            <w:tcW w:w="1821" w:type="dxa"/>
            <w:shd w:val="clear" w:color="auto" w:fill="auto"/>
            <w:vAlign w:val="center"/>
            <w:hideMark/>
          </w:tcPr>
          <w:p w:rsidR="004F7BAE" w:rsidRPr="00393E28" w:rsidRDefault="004F7BAE" w:rsidP="000B3FE9">
            <w:pPr>
              <w:jc w:val="center"/>
              <w:rPr>
                <w:rFonts w:eastAsia="Times New Roman" w:cs="Times New Roman"/>
                <w:iCs/>
                <w:szCs w:val="24"/>
                <w:lang w:eastAsia="pl-PL"/>
              </w:rPr>
            </w:pPr>
            <w:r w:rsidRPr="00393E28">
              <w:rPr>
                <w:rFonts w:eastAsia="Times New Roman" w:cs="Times New Roman"/>
                <w:iCs/>
                <w:szCs w:val="24"/>
                <w:lang w:val="en-GB" w:eastAsia="pl-PL"/>
              </w:rPr>
              <w:br/>
            </w:r>
            <w:proofErr w:type="spellStart"/>
            <w:r w:rsidRPr="00393E28">
              <w:rPr>
                <w:rFonts w:eastAsia="Times New Roman" w:cs="Times New Roman"/>
                <w:iCs/>
                <w:szCs w:val="24"/>
                <w:lang w:eastAsia="pl-PL"/>
              </w:rPr>
              <w:t>Shares</w:t>
            </w:r>
            <w:proofErr w:type="spellEnd"/>
          </w:p>
        </w:tc>
        <w:tc>
          <w:tcPr>
            <w:tcW w:w="1711" w:type="dxa"/>
            <w:shd w:val="clear" w:color="auto" w:fill="auto"/>
            <w:vAlign w:val="center"/>
            <w:hideMark/>
          </w:tcPr>
          <w:p w:rsidR="004F7BAE" w:rsidRPr="00393E28" w:rsidRDefault="004F7BAE" w:rsidP="000B3FE9">
            <w:pPr>
              <w:jc w:val="center"/>
              <w:rPr>
                <w:rFonts w:eastAsia="Times New Roman" w:cs="Times New Roman"/>
                <w:iCs/>
                <w:szCs w:val="24"/>
                <w:lang w:val="en-GB" w:eastAsia="pl-PL"/>
              </w:rPr>
            </w:pPr>
            <w:r w:rsidRPr="00393E28">
              <w:rPr>
                <w:rFonts w:eastAsia="Times New Roman" w:cs="Times New Roman"/>
                <w:iCs/>
                <w:szCs w:val="24"/>
                <w:lang w:val="en-GB" w:eastAsia="pl-PL"/>
              </w:rPr>
              <w:br/>
              <w:t>of which foreign</w:t>
            </w:r>
            <w:r w:rsidRPr="007C5383">
              <w:rPr>
                <w:rFonts w:eastAsia="Times New Roman" w:cs="Times New Roman"/>
                <w:iCs/>
                <w:szCs w:val="24"/>
                <w:lang w:val="en-GB" w:eastAsia="pl-PL"/>
              </w:rPr>
              <w:t xml:space="preserve"> (foreign shares)</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2002-12-31</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30 487,51</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437,29</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8 613,32</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365,21</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2003-12-31</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44 232,83</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307,64</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14 337,35</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175,73</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2004-12-31</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61 560,12</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920,92</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20 760,61</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574,91</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2005-12-30</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85 925,31</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1 030,39</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27 239,90</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580,59</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2006-12-29</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116 216,49</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1 506,09</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39 925,35</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962,36</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2007-12-31</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139 594,34</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1 455,08</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48 765,98</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917,74</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2008-12-31</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138 205,72</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885,64</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29 875,09</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421,93</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2009-12-31</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179 039,86</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1 333,84</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54 631,37</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862,75</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2010-12-31</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221 461,73</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1 521,78</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80 667,73</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1 017,07</w:t>
            </w:r>
          </w:p>
        </w:tc>
      </w:tr>
      <w:tr w:rsidR="004F7BAE" w:rsidRPr="00393E28" w:rsidTr="000B3FE9">
        <w:trPr>
          <w:trHeight w:val="289"/>
        </w:trPr>
        <w:tc>
          <w:tcPr>
            <w:tcW w:w="1433" w:type="dxa"/>
            <w:shd w:val="clear" w:color="auto" w:fill="auto"/>
            <w:noWrap/>
            <w:vAlign w:val="center"/>
            <w:hideMark/>
          </w:tcPr>
          <w:p w:rsidR="004F7BAE" w:rsidRPr="00393E28" w:rsidRDefault="004F7BAE" w:rsidP="000B3FE9">
            <w:pPr>
              <w:jc w:val="center"/>
              <w:rPr>
                <w:rFonts w:eastAsia="Times New Roman" w:cs="Times New Roman"/>
                <w:bCs/>
                <w:szCs w:val="24"/>
                <w:lang w:eastAsia="pl-PL"/>
              </w:rPr>
            </w:pPr>
            <w:r w:rsidRPr="00393E28">
              <w:rPr>
                <w:rFonts w:eastAsia="Times New Roman" w:cs="Times New Roman"/>
                <w:bCs/>
                <w:szCs w:val="24"/>
                <w:lang w:eastAsia="pl-PL"/>
              </w:rPr>
              <w:t>2011-12-31</w:t>
            </w:r>
          </w:p>
        </w:tc>
        <w:tc>
          <w:tcPr>
            <w:tcW w:w="1704"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226 203,63</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1 092,75</w:t>
            </w:r>
          </w:p>
        </w:tc>
        <w:tc>
          <w:tcPr>
            <w:tcW w:w="182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69 933,36</w:t>
            </w:r>
          </w:p>
        </w:tc>
        <w:tc>
          <w:tcPr>
            <w:tcW w:w="1711" w:type="dxa"/>
            <w:shd w:val="clear" w:color="auto" w:fill="auto"/>
            <w:noWrap/>
            <w:vAlign w:val="center"/>
            <w:hideMark/>
          </w:tcPr>
          <w:p w:rsidR="004F7BAE" w:rsidRPr="00393E28" w:rsidRDefault="004F7BAE" w:rsidP="000B3FE9">
            <w:pPr>
              <w:jc w:val="right"/>
              <w:rPr>
                <w:rFonts w:eastAsia="Times New Roman" w:cs="Times New Roman"/>
                <w:bCs/>
                <w:szCs w:val="24"/>
                <w:lang w:eastAsia="pl-PL"/>
              </w:rPr>
            </w:pPr>
            <w:r w:rsidRPr="00393E28">
              <w:rPr>
                <w:rFonts w:eastAsia="Times New Roman" w:cs="Times New Roman"/>
                <w:bCs/>
                <w:szCs w:val="24"/>
                <w:lang w:eastAsia="pl-PL"/>
              </w:rPr>
              <w:t>619,46</w:t>
            </w:r>
          </w:p>
        </w:tc>
      </w:tr>
    </w:tbl>
    <w:p w:rsidR="004F7BAE" w:rsidRDefault="004F7BAE" w:rsidP="004F7BAE">
      <w:pPr>
        <w:autoSpaceDE w:val="0"/>
        <w:autoSpaceDN w:val="0"/>
        <w:adjustRightInd w:val="0"/>
        <w:spacing w:line="480" w:lineRule="auto"/>
        <w:jc w:val="left"/>
        <w:rPr>
          <w:szCs w:val="24"/>
          <w:lang w:val="en-GB"/>
        </w:rPr>
      </w:pPr>
      <w:r w:rsidRPr="00DF1760">
        <w:rPr>
          <w:szCs w:val="24"/>
          <w:lang w:val="en-GB"/>
        </w:rPr>
        <w:t>Source:</w:t>
      </w:r>
      <w:r>
        <w:rPr>
          <w:szCs w:val="24"/>
          <w:lang w:val="en-GB"/>
        </w:rPr>
        <w:t xml:space="preserve"> KNF (2012).</w:t>
      </w: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Default="004F7BAE" w:rsidP="004F7BAE">
      <w:pPr>
        <w:autoSpaceDE w:val="0"/>
        <w:autoSpaceDN w:val="0"/>
        <w:adjustRightInd w:val="0"/>
        <w:spacing w:line="480" w:lineRule="auto"/>
        <w:jc w:val="left"/>
        <w:rPr>
          <w:rFonts w:cs="Times New Roman"/>
          <w:szCs w:val="24"/>
          <w:lang w:val="en-US"/>
        </w:rPr>
      </w:pPr>
    </w:p>
    <w:p w:rsidR="004F7BAE" w:rsidRPr="00DF1760" w:rsidRDefault="004F7BAE" w:rsidP="004F7BAE">
      <w:pPr>
        <w:autoSpaceDE w:val="0"/>
        <w:autoSpaceDN w:val="0"/>
        <w:adjustRightInd w:val="0"/>
        <w:spacing w:line="480" w:lineRule="auto"/>
        <w:jc w:val="left"/>
        <w:rPr>
          <w:rFonts w:cs="Times New Roman"/>
          <w:szCs w:val="24"/>
          <w:lang w:val="en-US"/>
        </w:rPr>
      </w:pPr>
    </w:p>
    <w:p w:rsidR="004F7BAE" w:rsidRPr="00DF1760" w:rsidRDefault="004F7BAE" w:rsidP="004F7BAE">
      <w:pPr>
        <w:autoSpaceDE w:val="0"/>
        <w:autoSpaceDN w:val="0"/>
        <w:adjustRightInd w:val="0"/>
        <w:spacing w:line="480" w:lineRule="auto"/>
        <w:jc w:val="center"/>
        <w:rPr>
          <w:rFonts w:cs="Times New Roman"/>
          <w:b/>
          <w:szCs w:val="24"/>
          <w:lang w:val="en-US"/>
        </w:rPr>
      </w:pPr>
      <w:r w:rsidRPr="00393E28">
        <w:rPr>
          <w:rFonts w:cs="Times New Roman"/>
          <w:b/>
          <w:szCs w:val="24"/>
          <w:lang w:val="en-US"/>
        </w:rPr>
        <w:lastRenderedPageBreak/>
        <w:t xml:space="preserve">Table 9. </w:t>
      </w:r>
      <w:r w:rsidRPr="00DF1760">
        <w:rPr>
          <w:rFonts w:cs="Times New Roman"/>
          <w:szCs w:val="24"/>
          <w:lang w:val="en-US"/>
        </w:rPr>
        <w:t>Aggregate OPF investment portfolio</w:t>
      </w:r>
      <w:r w:rsidR="00134A6F">
        <w:rPr>
          <w:rFonts w:cs="Times New Roman"/>
          <w:szCs w:val="24"/>
          <w:lang w:val="en-US"/>
        </w:rPr>
        <w:t>’s</w:t>
      </w:r>
      <w:r w:rsidRPr="00DF1760">
        <w:rPr>
          <w:rFonts w:cs="Times New Roman"/>
          <w:szCs w:val="24"/>
          <w:lang w:val="en-US"/>
        </w:rPr>
        <w:t xml:space="preserve"> structure  - the selected ratios</w:t>
      </w:r>
    </w:p>
    <w:tbl>
      <w:tblPr>
        <w:tblW w:w="735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8"/>
        <w:gridCol w:w="2044"/>
        <w:gridCol w:w="1463"/>
        <w:gridCol w:w="1949"/>
      </w:tblGrid>
      <w:tr w:rsidR="004F7BAE" w:rsidRPr="00393E28" w:rsidTr="000B3FE9">
        <w:trPr>
          <w:trHeight w:val="727"/>
          <w:jc w:val="center"/>
        </w:trPr>
        <w:tc>
          <w:tcPr>
            <w:tcW w:w="1898" w:type="dxa"/>
            <w:vAlign w:val="center"/>
          </w:tcPr>
          <w:p w:rsidR="004F7BAE" w:rsidRPr="00DF1760" w:rsidRDefault="004F7BAE" w:rsidP="000B3FE9">
            <w:pPr>
              <w:jc w:val="center"/>
              <w:rPr>
                <w:rFonts w:eastAsia="Times New Roman" w:cs="Times New Roman"/>
                <w:szCs w:val="24"/>
                <w:lang w:eastAsia="pl-PL"/>
              </w:rPr>
            </w:pPr>
            <w:proofErr w:type="spellStart"/>
            <w:r w:rsidRPr="00DF1760">
              <w:rPr>
                <w:rFonts w:eastAsia="Times New Roman" w:cs="Times New Roman"/>
                <w:szCs w:val="24"/>
                <w:lang w:eastAsia="pl-PL"/>
              </w:rPr>
              <w:t>Date</w:t>
            </w:r>
            <w:proofErr w:type="spellEnd"/>
          </w:p>
        </w:tc>
        <w:tc>
          <w:tcPr>
            <w:tcW w:w="2044" w:type="dxa"/>
            <w:shd w:val="clear" w:color="auto" w:fill="auto"/>
            <w:noWrap/>
            <w:vAlign w:val="center"/>
            <w:hideMark/>
          </w:tcPr>
          <w:p w:rsidR="004F7BAE" w:rsidRPr="00DF1760" w:rsidRDefault="004F7BAE" w:rsidP="000B3FE9">
            <w:pPr>
              <w:jc w:val="center"/>
              <w:rPr>
                <w:rFonts w:eastAsia="Times New Roman" w:cs="Times New Roman"/>
                <w:szCs w:val="24"/>
                <w:lang w:eastAsia="pl-PL"/>
              </w:rPr>
            </w:pPr>
            <w:proofErr w:type="spellStart"/>
            <w:r w:rsidRPr="00DF1760">
              <w:rPr>
                <w:rFonts w:eastAsia="Times New Roman" w:cs="Times New Roman"/>
                <w:szCs w:val="24"/>
                <w:lang w:eastAsia="pl-PL"/>
              </w:rPr>
              <w:t>Shares</w:t>
            </w:r>
            <w:proofErr w:type="spellEnd"/>
            <w:r>
              <w:rPr>
                <w:rFonts w:eastAsia="Times New Roman" w:cs="Times New Roman"/>
                <w:szCs w:val="24"/>
                <w:lang w:eastAsia="pl-PL"/>
              </w:rPr>
              <w:t xml:space="preserve"> </w:t>
            </w:r>
            <w:r w:rsidRPr="00DF1760">
              <w:rPr>
                <w:rFonts w:eastAsia="Times New Roman" w:cs="Times New Roman"/>
                <w:szCs w:val="24"/>
                <w:lang w:eastAsia="pl-PL"/>
              </w:rPr>
              <w:t>/</w:t>
            </w:r>
            <w:r>
              <w:rPr>
                <w:rFonts w:eastAsia="Times New Roman" w:cs="Times New Roman"/>
                <w:szCs w:val="24"/>
                <w:lang w:eastAsia="pl-PL"/>
              </w:rPr>
              <w:t xml:space="preserve"> </w:t>
            </w:r>
            <w:r w:rsidRPr="00DF1760">
              <w:rPr>
                <w:rFonts w:eastAsia="Times New Roman" w:cs="Times New Roman"/>
                <w:szCs w:val="24"/>
                <w:lang w:eastAsia="pl-PL"/>
              </w:rPr>
              <w:t>Total portfolio</w:t>
            </w:r>
          </w:p>
        </w:tc>
        <w:tc>
          <w:tcPr>
            <w:tcW w:w="1463" w:type="dxa"/>
            <w:shd w:val="clear" w:color="auto" w:fill="auto"/>
            <w:noWrap/>
            <w:vAlign w:val="center"/>
            <w:hideMark/>
          </w:tcPr>
          <w:p w:rsidR="004F7BAE" w:rsidRPr="00DF1760" w:rsidRDefault="004F7BAE" w:rsidP="000B3FE9">
            <w:pPr>
              <w:jc w:val="center"/>
              <w:rPr>
                <w:rFonts w:eastAsia="Times New Roman" w:cs="Times New Roman"/>
                <w:szCs w:val="24"/>
                <w:lang w:eastAsia="pl-PL"/>
              </w:rPr>
            </w:pPr>
            <w:proofErr w:type="spellStart"/>
            <w:r w:rsidRPr="00DF1760">
              <w:rPr>
                <w:rFonts w:eastAsia="Times New Roman" w:cs="Times New Roman"/>
                <w:szCs w:val="24"/>
                <w:lang w:eastAsia="pl-PL"/>
              </w:rPr>
              <w:t>Foreign</w:t>
            </w:r>
            <w:proofErr w:type="spellEnd"/>
            <w:r w:rsidRPr="00DF1760">
              <w:rPr>
                <w:rFonts w:eastAsia="Times New Roman" w:cs="Times New Roman"/>
                <w:szCs w:val="24"/>
                <w:lang w:eastAsia="pl-PL"/>
              </w:rPr>
              <w:t xml:space="preserve"> portfolio </w:t>
            </w:r>
            <w:r>
              <w:rPr>
                <w:rFonts w:eastAsia="Times New Roman" w:cs="Times New Roman"/>
                <w:szCs w:val="24"/>
                <w:lang w:eastAsia="pl-PL"/>
              </w:rPr>
              <w:t xml:space="preserve"> </w:t>
            </w:r>
            <w:r w:rsidRPr="00DF1760">
              <w:rPr>
                <w:rFonts w:eastAsia="Times New Roman" w:cs="Times New Roman"/>
                <w:szCs w:val="24"/>
                <w:lang w:eastAsia="pl-PL"/>
              </w:rPr>
              <w:t>/</w:t>
            </w:r>
            <w:r>
              <w:rPr>
                <w:rFonts w:eastAsia="Times New Roman" w:cs="Times New Roman"/>
                <w:szCs w:val="24"/>
                <w:lang w:eastAsia="pl-PL"/>
              </w:rPr>
              <w:t xml:space="preserve"> </w:t>
            </w:r>
            <w:r w:rsidRPr="00DF1760">
              <w:rPr>
                <w:rFonts w:eastAsia="Times New Roman" w:cs="Times New Roman"/>
                <w:szCs w:val="24"/>
                <w:lang w:eastAsia="pl-PL"/>
              </w:rPr>
              <w:t>Total Portfolio</w:t>
            </w:r>
          </w:p>
        </w:tc>
        <w:tc>
          <w:tcPr>
            <w:tcW w:w="1949" w:type="dxa"/>
            <w:shd w:val="clear" w:color="auto" w:fill="auto"/>
            <w:noWrap/>
            <w:vAlign w:val="center"/>
            <w:hideMark/>
          </w:tcPr>
          <w:p w:rsidR="004F7BAE" w:rsidRPr="00DF1760" w:rsidRDefault="004F7BAE" w:rsidP="000B3FE9">
            <w:pPr>
              <w:jc w:val="center"/>
              <w:rPr>
                <w:rFonts w:eastAsia="Times New Roman" w:cs="Times New Roman"/>
                <w:szCs w:val="24"/>
                <w:lang w:eastAsia="pl-PL"/>
              </w:rPr>
            </w:pPr>
            <w:proofErr w:type="spellStart"/>
            <w:r w:rsidRPr="00DF1760">
              <w:rPr>
                <w:rFonts w:eastAsia="Times New Roman" w:cs="Times New Roman"/>
                <w:szCs w:val="24"/>
                <w:lang w:eastAsia="pl-PL"/>
              </w:rPr>
              <w:t>Foreign</w:t>
            </w:r>
            <w:proofErr w:type="spellEnd"/>
            <w:r w:rsidRPr="00DF1760">
              <w:rPr>
                <w:rFonts w:eastAsia="Times New Roman" w:cs="Times New Roman"/>
                <w:szCs w:val="24"/>
                <w:lang w:eastAsia="pl-PL"/>
              </w:rPr>
              <w:t xml:space="preserve"> </w:t>
            </w:r>
            <w:proofErr w:type="spellStart"/>
            <w:r w:rsidRPr="00DF1760">
              <w:rPr>
                <w:rFonts w:eastAsia="Times New Roman" w:cs="Times New Roman"/>
                <w:szCs w:val="24"/>
                <w:lang w:eastAsia="pl-PL"/>
              </w:rPr>
              <w:t>Shares</w:t>
            </w:r>
            <w:proofErr w:type="spellEnd"/>
            <w:r>
              <w:rPr>
                <w:rFonts w:eastAsia="Times New Roman" w:cs="Times New Roman"/>
                <w:szCs w:val="24"/>
                <w:lang w:eastAsia="pl-PL"/>
              </w:rPr>
              <w:t xml:space="preserve"> </w:t>
            </w:r>
            <w:r w:rsidRPr="00DF1760">
              <w:rPr>
                <w:rFonts w:eastAsia="Times New Roman" w:cs="Times New Roman"/>
                <w:szCs w:val="24"/>
                <w:lang w:eastAsia="pl-PL"/>
              </w:rPr>
              <w:t>/</w:t>
            </w:r>
            <w:r>
              <w:rPr>
                <w:rFonts w:eastAsia="Times New Roman" w:cs="Times New Roman"/>
                <w:szCs w:val="24"/>
                <w:lang w:eastAsia="pl-PL"/>
              </w:rPr>
              <w:t xml:space="preserve"> </w:t>
            </w:r>
            <w:proofErr w:type="spellStart"/>
            <w:r w:rsidRPr="00DF1760">
              <w:rPr>
                <w:rFonts w:eastAsia="Times New Roman" w:cs="Times New Roman"/>
                <w:szCs w:val="24"/>
                <w:lang w:eastAsia="pl-PL"/>
              </w:rPr>
              <w:t>Shares</w:t>
            </w:r>
            <w:proofErr w:type="spellEnd"/>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2002-12-31</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28,25%</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1,43%</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4,24%</w:t>
            </w:r>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2003-12-31</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32,41%</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0,70%</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1,23%</w:t>
            </w:r>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2004-12-31</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33,72%</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1,50%</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2,77%</w:t>
            </w:r>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2005-12-30</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31,70%</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1,20%</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2,13%</w:t>
            </w:r>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2006-12-29</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34,35%</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1,30%</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2,41%</w:t>
            </w:r>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2007-12-31</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34,93%</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1,04%</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1,88%</w:t>
            </w:r>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2008-12-31</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21,62%</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0,64%</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1,41%</w:t>
            </w:r>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2009-12-31</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30,51%</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0,74%</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1,58%</w:t>
            </w:r>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2010-12-31</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36,43%</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0,69%</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1,26%</w:t>
            </w:r>
          </w:p>
        </w:tc>
      </w:tr>
      <w:tr w:rsidR="004F7BAE" w:rsidRPr="00393E28" w:rsidTr="000B3FE9">
        <w:trPr>
          <w:trHeight w:val="288"/>
          <w:jc w:val="center"/>
        </w:trPr>
        <w:tc>
          <w:tcPr>
            <w:tcW w:w="1898" w:type="dxa"/>
            <w:vAlign w:val="center"/>
          </w:tcPr>
          <w:p w:rsidR="004F7BAE" w:rsidRPr="00DF1760" w:rsidRDefault="004F7BAE" w:rsidP="000B3FE9">
            <w:pPr>
              <w:jc w:val="center"/>
              <w:rPr>
                <w:rFonts w:eastAsia="Times New Roman" w:cs="Times New Roman"/>
                <w:bCs/>
                <w:szCs w:val="24"/>
                <w:lang w:eastAsia="pl-PL"/>
              </w:rPr>
            </w:pPr>
            <w:r w:rsidRPr="00DF1760">
              <w:rPr>
                <w:rFonts w:eastAsia="Times New Roman" w:cs="Times New Roman"/>
                <w:bCs/>
                <w:szCs w:val="24"/>
                <w:lang w:eastAsia="pl-PL"/>
              </w:rPr>
              <w:t>2011-12-31</w:t>
            </w:r>
          </w:p>
        </w:tc>
        <w:tc>
          <w:tcPr>
            <w:tcW w:w="2044"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30,92%</w:t>
            </w:r>
          </w:p>
        </w:tc>
        <w:tc>
          <w:tcPr>
            <w:tcW w:w="1463"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0,48%</w:t>
            </w:r>
          </w:p>
        </w:tc>
        <w:tc>
          <w:tcPr>
            <w:tcW w:w="1949" w:type="dxa"/>
            <w:shd w:val="clear" w:color="auto" w:fill="auto"/>
            <w:noWrap/>
            <w:vAlign w:val="bottom"/>
            <w:hideMark/>
          </w:tcPr>
          <w:p w:rsidR="004F7BAE" w:rsidRPr="00DF1760" w:rsidRDefault="004F7BAE" w:rsidP="000B3FE9">
            <w:pPr>
              <w:jc w:val="right"/>
              <w:rPr>
                <w:rFonts w:cs="Times New Roman"/>
                <w:color w:val="000000"/>
                <w:szCs w:val="24"/>
              </w:rPr>
            </w:pPr>
            <w:r w:rsidRPr="00DF1760">
              <w:rPr>
                <w:rFonts w:cs="Times New Roman"/>
                <w:color w:val="000000"/>
                <w:szCs w:val="24"/>
              </w:rPr>
              <w:t>0,89%</w:t>
            </w:r>
          </w:p>
        </w:tc>
      </w:tr>
    </w:tbl>
    <w:p w:rsidR="004F7BAE" w:rsidRPr="00DF1760" w:rsidRDefault="004F7BAE" w:rsidP="004F7BAE">
      <w:pPr>
        <w:autoSpaceDE w:val="0"/>
        <w:autoSpaceDN w:val="0"/>
        <w:adjustRightInd w:val="0"/>
        <w:spacing w:line="480" w:lineRule="auto"/>
        <w:jc w:val="left"/>
        <w:rPr>
          <w:rFonts w:cs="Times New Roman"/>
          <w:szCs w:val="24"/>
          <w:lang w:val="en-US"/>
        </w:rPr>
      </w:pPr>
      <w:r w:rsidRPr="00DF1760">
        <w:rPr>
          <w:szCs w:val="24"/>
          <w:lang w:val="en-GB"/>
        </w:rPr>
        <w:t>Source:</w:t>
      </w:r>
      <w:r>
        <w:rPr>
          <w:szCs w:val="24"/>
          <w:lang w:val="en-GB"/>
        </w:rPr>
        <w:t xml:space="preserve"> KNF (2012).</w:t>
      </w:r>
    </w:p>
    <w:p w:rsidR="004F7BAE" w:rsidRPr="00642726" w:rsidRDefault="004F7BAE">
      <w:pPr>
        <w:spacing w:line="480" w:lineRule="auto"/>
        <w:rPr>
          <w:rFonts w:cs="Times New Roman"/>
          <w:szCs w:val="24"/>
          <w:lang w:val="en-GB"/>
        </w:rPr>
      </w:pPr>
      <w:bookmarkStart w:id="0" w:name="_GoBack"/>
      <w:bookmarkEnd w:id="0"/>
    </w:p>
    <w:sectPr w:rsidR="004F7BAE" w:rsidRPr="00642726" w:rsidSect="009539C0">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C7" w:rsidRDefault="00A467C7" w:rsidP="00A57DAF">
      <w:r>
        <w:separator/>
      </w:r>
    </w:p>
  </w:endnote>
  <w:endnote w:type="continuationSeparator" w:id="0">
    <w:p w:rsidR="00A467C7" w:rsidRDefault="00A467C7" w:rsidP="00A5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MR1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0704"/>
      <w:docPartObj>
        <w:docPartGallery w:val="Page Numbers (Bottom of Page)"/>
        <w:docPartUnique/>
      </w:docPartObj>
    </w:sdtPr>
    <w:sdtEndPr/>
    <w:sdtContent>
      <w:p w:rsidR="00A4059D" w:rsidRDefault="00A4059D">
        <w:pPr>
          <w:pStyle w:val="Stopka"/>
          <w:jc w:val="right"/>
        </w:pPr>
        <w:r>
          <w:fldChar w:fldCharType="begin"/>
        </w:r>
        <w:r>
          <w:instrText xml:space="preserve"> PAGE   \* MERGEFORMAT </w:instrText>
        </w:r>
        <w:r>
          <w:fldChar w:fldCharType="separate"/>
        </w:r>
        <w:r w:rsidR="00CB7CBF">
          <w:rPr>
            <w:noProof/>
          </w:rPr>
          <w:t>25</w:t>
        </w:r>
        <w:r>
          <w:rPr>
            <w:noProof/>
          </w:rPr>
          <w:fldChar w:fldCharType="end"/>
        </w:r>
      </w:p>
    </w:sdtContent>
  </w:sdt>
  <w:p w:rsidR="00A4059D" w:rsidRDefault="00A405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C7" w:rsidRDefault="00A467C7" w:rsidP="00A57DAF">
      <w:r>
        <w:separator/>
      </w:r>
    </w:p>
  </w:footnote>
  <w:footnote w:type="continuationSeparator" w:id="0">
    <w:p w:rsidR="00A467C7" w:rsidRDefault="00A467C7" w:rsidP="00A57DAF">
      <w:r>
        <w:continuationSeparator/>
      </w:r>
    </w:p>
  </w:footnote>
  <w:footnote w:id="1">
    <w:p w:rsidR="00A4059D" w:rsidRPr="00CC0FCA" w:rsidRDefault="00A4059D" w:rsidP="00CC0FCA">
      <w:pPr>
        <w:jc w:val="left"/>
        <w:rPr>
          <w:rFonts w:cs="Times New Roman"/>
          <w:szCs w:val="24"/>
          <w:lang w:val="en-GB"/>
        </w:rPr>
      </w:pPr>
      <w:r>
        <w:rPr>
          <w:rStyle w:val="Odwoanieprzypisudolnego"/>
        </w:rPr>
        <w:footnoteRef/>
      </w:r>
      <w:r w:rsidRPr="00CC0FCA">
        <w:rPr>
          <w:lang w:val="en-GB"/>
        </w:rPr>
        <w:t xml:space="preserve"> </w:t>
      </w:r>
      <w:r w:rsidRPr="00CC0FCA">
        <w:rPr>
          <w:sz w:val="20"/>
          <w:szCs w:val="20"/>
          <w:lang w:val="en-GB"/>
        </w:rPr>
        <w:t xml:space="preserve">Radosław Kurach, PhD; </w:t>
      </w:r>
      <w:r w:rsidRPr="00CC0FCA">
        <w:rPr>
          <w:rFonts w:cs="Times New Roman"/>
          <w:sz w:val="20"/>
          <w:szCs w:val="20"/>
          <w:lang w:val="en-GB"/>
        </w:rPr>
        <w:t xml:space="preserve">Faculty of Economic Sciences, Wroclaw University of Economics, </w:t>
      </w:r>
      <w:proofErr w:type="spellStart"/>
      <w:r>
        <w:rPr>
          <w:rFonts w:cs="Times New Roman"/>
          <w:sz w:val="20"/>
          <w:szCs w:val="20"/>
          <w:lang w:val="en-GB"/>
        </w:rPr>
        <w:t>ul</w:t>
      </w:r>
      <w:proofErr w:type="spellEnd"/>
      <w:r>
        <w:rPr>
          <w:rFonts w:cs="Times New Roman"/>
          <w:sz w:val="20"/>
          <w:szCs w:val="20"/>
          <w:lang w:val="en-GB"/>
        </w:rPr>
        <w:t xml:space="preserve">. </w:t>
      </w:r>
      <w:proofErr w:type="spellStart"/>
      <w:r>
        <w:rPr>
          <w:rFonts w:cs="Times New Roman"/>
          <w:sz w:val="20"/>
          <w:szCs w:val="20"/>
          <w:lang w:val="en-GB"/>
        </w:rPr>
        <w:t>Komandorska</w:t>
      </w:r>
      <w:proofErr w:type="spellEnd"/>
      <w:r>
        <w:rPr>
          <w:rFonts w:cs="Times New Roman"/>
          <w:sz w:val="20"/>
          <w:szCs w:val="20"/>
          <w:lang w:val="en-GB"/>
        </w:rPr>
        <w:t xml:space="preserve"> 118/120, 53-345 </w:t>
      </w:r>
      <w:proofErr w:type="spellStart"/>
      <w:r>
        <w:rPr>
          <w:rFonts w:cs="Times New Roman"/>
          <w:sz w:val="20"/>
          <w:szCs w:val="20"/>
          <w:lang w:val="en-GB"/>
        </w:rPr>
        <w:t>Wrocław</w:t>
      </w:r>
      <w:proofErr w:type="spellEnd"/>
      <w:r>
        <w:rPr>
          <w:rFonts w:cs="Times New Roman"/>
          <w:sz w:val="20"/>
          <w:szCs w:val="20"/>
          <w:lang w:val="en-GB"/>
        </w:rPr>
        <w:t xml:space="preserve">, Poland; +48 71 36 80 194; </w:t>
      </w:r>
      <w:r w:rsidRPr="00CC0FCA">
        <w:rPr>
          <w:rFonts w:cs="Times New Roman"/>
          <w:sz w:val="20"/>
          <w:szCs w:val="20"/>
          <w:lang w:val="en-GB"/>
        </w:rPr>
        <w:t>radoslaw.kurach@ue.wroc.pl</w:t>
      </w:r>
    </w:p>
    <w:p w:rsidR="00A4059D" w:rsidRPr="00CC0FCA" w:rsidRDefault="00A4059D">
      <w:pPr>
        <w:pStyle w:val="Tekstprzypisudolnego"/>
        <w:rPr>
          <w:lang w:val="en-GB"/>
        </w:rPr>
      </w:pPr>
    </w:p>
  </w:footnote>
  <w:footnote w:id="2">
    <w:p w:rsidR="00A4059D" w:rsidRPr="00580864" w:rsidRDefault="00A4059D">
      <w:pPr>
        <w:pStyle w:val="Tekstprzypisudolnego"/>
        <w:rPr>
          <w:lang w:val="en-GB"/>
        </w:rPr>
      </w:pPr>
      <w:r>
        <w:rPr>
          <w:rStyle w:val="Odwoanieprzypisudolnego"/>
        </w:rPr>
        <w:footnoteRef/>
      </w:r>
      <w:r w:rsidRPr="00580864">
        <w:rPr>
          <w:lang w:val="en-GB"/>
        </w:rPr>
        <w:t xml:space="preserve"> </w:t>
      </w:r>
      <w:r>
        <w:rPr>
          <w:lang w:val="en-GB"/>
        </w:rPr>
        <w:t>The mandatory character is not the only difference. The issues of payout rules and succession also matters. (</w:t>
      </w:r>
      <w:proofErr w:type="spellStart"/>
      <w:r>
        <w:rPr>
          <w:lang w:val="en-GB"/>
        </w:rPr>
        <w:t>Góra</w:t>
      </w:r>
      <w:proofErr w:type="spellEnd"/>
      <w:r>
        <w:rPr>
          <w:lang w:val="en-GB"/>
        </w:rPr>
        <w:t>, 2003, p. 142.)</w:t>
      </w:r>
    </w:p>
  </w:footnote>
  <w:footnote w:id="3">
    <w:p w:rsidR="00A4059D" w:rsidRPr="00A57DAF" w:rsidRDefault="00A4059D">
      <w:pPr>
        <w:pStyle w:val="Tekstprzypisudolnego"/>
        <w:rPr>
          <w:lang w:val="en-GB"/>
        </w:rPr>
      </w:pPr>
      <w:r>
        <w:rPr>
          <w:rStyle w:val="Odwoanieprzypisudolnego"/>
        </w:rPr>
        <w:footnoteRef/>
      </w:r>
      <w:r>
        <w:rPr>
          <w:lang w:val="en-GB"/>
        </w:rPr>
        <w:t xml:space="preserve"> The „pil</w:t>
      </w:r>
      <w:r w:rsidRPr="00A57DAF">
        <w:rPr>
          <w:lang w:val="en-GB"/>
        </w:rPr>
        <w:t xml:space="preserve">lar” terminology </w:t>
      </w:r>
      <w:r>
        <w:rPr>
          <w:lang w:val="en-GB"/>
        </w:rPr>
        <w:t>m</w:t>
      </w:r>
      <w:r w:rsidRPr="00A57DAF">
        <w:rPr>
          <w:lang w:val="en-GB"/>
        </w:rPr>
        <w:t xml:space="preserve">ay </w:t>
      </w:r>
      <w:r>
        <w:rPr>
          <w:lang w:val="en-GB"/>
        </w:rPr>
        <w:t>be to some exte</w:t>
      </w:r>
      <w:r w:rsidRPr="00A57DAF">
        <w:rPr>
          <w:lang w:val="en-GB"/>
        </w:rPr>
        <w:t>nt</w:t>
      </w:r>
      <w:r>
        <w:rPr>
          <w:lang w:val="en-GB"/>
        </w:rPr>
        <w:t xml:space="preserve"> misguiding (</w:t>
      </w:r>
      <w:proofErr w:type="spellStart"/>
      <w:r>
        <w:rPr>
          <w:lang w:val="en-GB"/>
        </w:rPr>
        <w:t>Góra</w:t>
      </w:r>
      <w:proofErr w:type="spellEnd"/>
      <w:r>
        <w:rPr>
          <w:lang w:val="en-GB"/>
        </w:rPr>
        <w:t xml:space="preserve">, 2003, p. 143.),  hence we defined for our purposes the second pillar once again. </w:t>
      </w:r>
    </w:p>
  </w:footnote>
  <w:footnote w:id="4">
    <w:p w:rsidR="00A4059D" w:rsidRPr="00506636" w:rsidRDefault="00A4059D" w:rsidP="008A3791">
      <w:pPr>
        <w:pStyle w:val="Tekstprzypisudolnego"/>
        <w:rPr>
          <w:lang w:val="en-US"/>
        </w:rPr>
      </w:pPr>
      <w:r>
        <w:rPr>
          <w:rStyle w:val="Odwoanieprzypisudolnego"/>
        </w:rPr>
        <w:footnoteRef/>
      </w:r>
      <w:r w:rsidRPr="00506636">
        <w:rPr>
          <w:lang w:val="en-US"/>
        </w:rPr>
        <w:t xml:space="preserve"> </w:t>
      </w:r>
      <w:r w:rsidRPr="00CA51FE">
        <w:rPr>
          <w:lang w:val="en-GB"/>
        </w:rPr>
        <w:t>Canada, United States, Austria, Belgium, Denmark, Finland, France, Germany, Greece, Ireland, Israel, Italy, Netherlands, Norway, Portugal, Spain, Sweden, Switzerland, United Kingdom, Australia, Hong Kong, Japan, New Zealand, Singapore.</w:t>
      </w:r>
    </w:p>
  </w:footnote>
  <w:footnote w:id="5">
    <w:p w:rsidR="00A4059D" w:rsidRPr="003F6337" w:rsidRDefault="00A4059D">
      <w:pPr>
        <w:pStyle w:val="Tekstprzypisudolnego"/>
        <w:rPr>
          <w:lang w:val="en-GB"/>
        </w:rPr>
      </w:pPr>
      <w:r>
        <w:rPr>
          <w:rStyle w:val="Odwoanieprzypisudolnego"/>
        </w:rPr>
        <w:footnoteRef/>
      </w:r>
      <w:r w:rsidRPr="003F6337">
        <w:rPr>
          <w:lang w:val="en-GB"/>
        </w:rPr>
        <w:t xml:space="preserve"> Austria, Belgium, Finland, France, Germany, Greece, Ireland, Italy, the Netherlands, Portugal,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E85"/>
    <w:multiLevelType w:val="hybridMultilevel"/>
    <w:tmpl w:val="78A24252"/>
    <w:lvl w:ilvl="0" w:tplc="C5AAC5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564E1"/>
    <w:multiLevelType w:val="hybridMultilevel"/>
    <w:tmpl w:val="B8704970"/>
    <w:lvl w:ilvl="0" w:tplc="C57CA3BA">
      <w:start w:val="5"/>
      <w:numFmt w:val="bullet"/>
      <w:lvlText w:val=""/>
      <w:lvlJc w:val="left"/>
      <w:pPr>
        <w:ind w:left="720" w:hanging="360"/>
      </w:pPr>
      <w:rPr>
        <w:rFonts w:ascii="Symbol" w:eastAsiaTheme="minorHAnsi" w:hAnsi="Symbol" w:cs="CMR10"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6F023A"/>
    <w:multiLevelType w:val="hybridMultilevel"/>
    <w:tmpl w:val="4516DA2A"/>
    <w:lvl w:ilvl="0" w:tplc="99CC9B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F93449D"/>
    <w:multiLevelType w:val="hybridMultilevel"/>
    <w:tmpl w:val="ECDA11C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E6F61BD"/>
    <w:multiLevelType w:val="hybridMultilevel"/>
    <w:tmpl w:val="27241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698A"/>
    <w:rsid w:val="0002288B"/>
    <w:rsid w:val="00042C6C"/>
    <w:rsid w:val="00043416"/>
    <w:rsid w:val="00044635"/>
    <w:rsid w:val="00047D4E"/>
    <w:rsid w:val="00052DB4"/>
    <w:rsid w:val="0006324A"/>
    <w:rsid w:val="000653F1"/>
    <w:rsid w:val="00092EBA"/>
    <w:rsid w:val="00095785"/>
    <w:rsid w:val="000A237E"/>
    <w:rsid w:val="000A2B11"/>
    <w:rsid w:val="000A2B62"/>
    <w:rsid w:val="000B3FE9"/>
    <w:rsid w:val="000E1068"/>
    <w:rsid w:val="000F1BC3"/>
    <w:rsid w:val="000F2FD0"/>
    <w:rsid w:val="000F6B38"/>
    <w:rsid w:val="0012789D"/>
    <w:rsid w:val="00134A6F"/>
    <w:rsid w:val="00145EA6"/>
    <w:rsid w:val="00166919"/>
    <w:rsid w:val="0018102E"/>
    <w:rsid w:val="001C1FA0"/>
    <w:rsid w:val="001F6F4B"/>
    <w:rsid w:val="00215775"/>
    <w:rsid w:val="00227D2D"/>
    <w:rsid w:val="002320CF"/>
    <w:rsid w:val="002409A5"/>
    <w:rsid w:val="00244DF8"/>
    <w:rsid w:val="00247B11"/>
    <w:rsid w:val="002500A2"/>
    <w:rsid w:val="00264D9D"/>
    <w:rsid w:val="002773CB"/>
    <w:rsid w:val="00291296"/>
    <w:rsid w:val="002C1FF8"/>
    <w:rsid w:val="002E61F3"/>
    <w:rsid w:val="0032177D"/>
    <w:rsid w:val="00324463"/>
    <w:rsid w:val="003450CA"/>
    <w:rsid w:val="0037271F"/>
    <w:rsid w:val="0038114D"/>
    <w:rsid w:val="003829CF"/>
    <w:rsid w:val="0038402A"/>
    <w:rsid w:val="003845DB"/>
    <w:rsid w:val="00393E28"/>
    <w:rsid w:val="003943C1"/>
    <w:rsid w:val="003A643A"/>
    <w:rsid w:val="003D7889"/>
    <w:rsid w:val="003E15A0"/>
    <w:rsid w:val="003E19B4"/>
    <w:rsid w:val="003E540C"/>
    <w:rsid w:val="003F6337"/>
    <w:rsid w:val="0041176C"/>
    <w:rsid w:val="00422D01"/>
    <w:rsid w:val="00455578"/>
    <w:rsid w:val="004624D6"/>
    <w:rsid w:val="004922EF"/>
    <w:rsid w:val="004B07A1"/>
    <w:rsid w:val="004C6132"/>
    <w:rsid w:val="004D2606"/>
    <w:rsid w:val="004E6D76"/>
    <w:rsid w:val="004F78AB"/>
    <w:rsid w:val="004F7BAE"/>
    <w:rsid w:val="00501A3A"/>
    <w:rsid w:val="00511383"/>
    <w:rsid w:val="0051361A"/>
    <w:rsid w:val="0052502A"/>
    <w:rsid w:val="00536C8E"/>
    <w:rsid w:val="00536CC5"/>
    <w:rsid w:val="00537591"/>
    <w:rsid w:val="00547597"/>
    <w:rsid w:val="00550D27"/>
    <w:rsid w:val="00564DE7"/>
    <w:rsid w:val="00577672"/>
    <w:rsid w:val="00580864"/>
    <w:rsid w:val="00581810"/>
    <w:rsid w:val="0058226A"/>
    <w:rsid w:val="005928A7"/>
    <w:rsid w:val="005A31CC"/>
    <w:rsid w:val="005A6F3D"/>
    <w:rsid w:val="005B1AF6"/>
    <w:rsid w:val="005B4047"/>
    <w:rsid w:val="005B4325"/>
    <w:rsid w:val="005C1DA3"/>
    <w:rsid w:val="005C634D"/>
    <w:rsid w:val="005D2194"/>
    <w:rsid w:val="005E26E6"/>
    <w:rsid w:val="005E76B2"/>
    <w:rsid w:val="0060319B"/>
    <w:rsid w:val="00617A59"/>
    <w:rsid w:val="00626AB8"/>
    <w:rsid w:val="00627144"/>
    <w:rsid w:val="00634B7C"/>
    <w:rsid w:val="00642726"/>
    <w:rsid w:val="0066436A"/>
    <w:rsid w:val="006B0EA2"/>
    <w:rsid w:val="006B0EA3"/>
    <w:rsid w:val="006B2025"/>
    <w:rsid w:val="006B54D6"/>
    <w:rsid w:val="006C439C"/>
    <w:rsid w:val="006D477F"/>
    <w:rsid w:val="006D71BF"/>
    <w:rsid w:val="0070351A"/>
    <w:rsid w:val="00710FAB"/>
    <w:rsid w:val="00716B66"/>
    <w:rsid w:val="00717FAF"/>
    <w:rsid w:val="007333F9"/>
    <w:rsid w:val="0073698A"/>
    <w:rsid w:val="00747FB0"/>
    <w:rsid w:val="007534AC"/>
    <w:rsid w:val="007603E4"/>
    <w:rsid w:val="00792A22"/>
    <w:rsid w:val="007A2AB6"/>
    <w:rsid w:val="007C3F3C"/>
    <w:rsid w:val="007C5383"/>
    <w:rsid w:val="007E2575"/>
    <w:rsid w:val="00811001"/>
    <w:rsid w:val="00811281"/>
    <w:rsid w:val="00811CC5"/>
    <w:rsid w:val="0081354A"/>
    <w:rsid w:val="00837D00"/>
    <w:rsid w:val="008479D5"/>
    <w:rsid w:val="008870D1"/>
    <w:rsid w:val="008A3791"/>
    <w:rsid w:val="008C3333"/>
    <w:rsid w:val="008E597D"/>
    <w:rsid w:val="008F4384"/>
    <w:rsid w:val="008F7982"/>
    <w:rsid w:val="00903780"/>
    <w:rsid w:val="00913215"/>
    <w:rsid w:val="0092557F"/>
    <w:rsid w:val="00930847"/>
    <w:rsid w:val="00933DC3"/>
    <w:rsid w:val="009474F3"/>
    <w:rsid w:val="009539C0"/>
    <w:rsid w:val="009554EF"/>
    <w:rsid w:val="0099291D"/>
    <w:rsid w:val="009A635E"/>
    <w:rsid w:val="009B0287"/>
    <w:rsid w:val="009C13EE"/>
    <w:rsid w:val="009E1781"/>
    <w:rsid w:val="009E589C"/>
    <w:rsid w:val="009E66C1"/>
    <w:rsid w:val="009E73D7"/>
    <w:rsid w:val="00A05D7D"/>
    <w:rsid w:val="00A07199"/>
    <w:rsid w:val="00A1727C"/>
    <w:rsid w:val="00A21DE5"/>
    <w:rsid w:val="00A4059D"/>
    <w:rsid w:val="00A467C7"/>
    <w:rsid w:val="00A510A4"/>
    <w:rsid w:val="00A57DAF"/>
    <w:rsid w:val="00A62F38"/>
    <w:rsid w:val="00A80C78"/>
    <w:rsid w:val="00A833BB"/>
    <w:rsid w:val="00A92AFA"/>
    <w:rsid w:val="00A95A88"/>
    <w:rsid w:val="00AB1440"/>
    <w:rsid w:val="00AB5115"/>
    <w:rsid w:val="00AC022C"/>
    <w:rsid w:val="00AD5F12"/>
    <w:rsid w:val="00AF2D04"/>
    <w:rsid w:val="00B00D78"/>
    <w:rsid w:val="00B0342F"/>
    <w:rsid w:val="00B03822"/>
    <w:rsid w:val="00B06345"/>
    <w:rsid w:val="00B90C1C"/>
    <w:rsid w:val="00BA1AC5"/>
    <w:rsid w:val="00BB2C4E"/>
    <w:rsid w:val="00BC74E4"/>
    <w:rsid w:val="00BD2D37"/>
    <w:rsid w:val="00BD315D"/>
    <w:rsid w:val="00BD49A3"/>
    <w:rsid w:val="00BF47A7"/>
    <w:rsid w:val="00C17AD7"/>
    <w:rsid w:val="00C4346D"/>
    <w:rsid w:val="00C61D7D"/>
    <w:rsid w:val="00C70D3A"/>
    <w:rsid w:val="00C72C2D"/>
    <w:rsid w:val="00C814AB"/>
    <w:rsid w:val="00C845A6"/>
    <w:rsid w:val="00C91A1F"/>
    <w:rsid w:val="00CA4846"/>
    <w:rsid w:val="00CA63D6"/>
    <w:rsid w:val="00CB7CBF"/>
    <w:rsid w:val="00CC0FCA"/>
    <w:rsid w:val="00CC30AF"/>
    <w:rsid w:val="00CE648A"/>
    <w:rsid w:val="00CE6EB2"/>
    <w:rsid w:val="00CF274B"/>
    <w:rsid w:val="00D076EB"/>
    <w:rsid w:val="00D40C4F"/>
    <w:rsid w:val="00D506DC"/>
    <w:rsid w:val="00D52275"/>
    <w:rsid w:val="00D55D5D"/>
    <w:rsid w:val="00DA41DE"/>
    <w:rsid w:val="00DE2FFC"/>
    <w:rsid w:val="00DF1760"/>
    <w:rsid w:val="00DF23C4"/>
    <w:rsid w:val="00DF75A8"/>
    <w:rsid w:val="00E058F7"/>
    <w:rsid w:val="00E17CAB"/>
    <w:rsid w:val="00E463F2"/>
    <w:rsid w:val="00E631D7"/>
    <w:rsid w:val="00E7211F"/>
    <w:rsid w:val="00E87384"/>
    <w:rsid w:val="00E96025"/>
    <w:rsid w:val="00EB54EC"/>
    <w:rsid w:val="00ED44F0"/>
    <w:rsid w:val="00F0230E"/>
    <w:rsid w:val="00F15CB6"/>
    <w:rsid w:val="00F2494B"/>
    <w:rsid w:val="00F24FA7"/>
    <w:rsid w:val="00F252DF"/>
    <w:rsid w:val="00F3586E"/>
    <w:rsid w:val="00F41783"/>
    <w:rsid w:val="00F60ECC"/>
    <w:rsid w:val="00FB5E3A"/>
    <w:rsid w:val="00FB741C"/>
    <w:rsid w:val="00FC7C28"/>
    <w:rsid w:val="00FD0E7A"/>
    <w:rsid w:val="00FE5ED4"/>
    <w:rsid w:val="00FF4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CC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39C0"/>
    <w:pPr>
      <w:ind w:left="720"/>
      <w:contextualSpacing/>
    </w:pPr>
  </w:style>
  <w:style w:type="paragraph" w:styleId="Tekstprzypisudolnego">
    <w:name w:val="footnote text"/>
    <w:basedOn w:val="Normalny"/>
    <w:link w:val="TekstprzypisudolnegoZnak"/>
    <w:semiHidden/>
    <w:unhideWhenUsed/>
    <w:rsid w:val="00A57DAF"/>
    <w:rPr>
      <w:sz w:val="20"/>
      <w:szCs w:val="20"/>
    </w:rPr>
  </w:style>
  <w:style w:type="character" w:customStyle="1" w:styleId="TekstprzypisudolnegoZnak">
    <w:name w:val="Tekst przypisu dolnego Znak"/>
    <w:basedOn w:val="Domylnaczcionkaakapitu"/>
    <w:link w:val="Tekstprzypisudolnego"/>
    <w:semiHidden/>
    <w:rsid w:val="00A57DAF"/>
    <w:rPr>
      <w:rFonts w:ascii="Times New Roman" w:hAnsi="Times New Roman"/>
      <w:sz w:val="20"/>
      <w:szCs w:val="20"/>
    </w:rPr>
  </w:style>
  <w:style w:type="character" w:styleId="Odwoanieprzypisudolnego">
    <w:name w:val="footnote reference"/>
    <w:basedOn w:val="Domylnaczcionkaakapitu"/>
    <w:semiHidden/>
    <w:unhideWhenUsed/>
    <w:rsid w:val="00A57DAF"/>
    <w:rPr>
      <w:vertAlign w:val="superscript"/>
    </w:rPr>
  </w:style>
  <w:style w:type="table" w:styleId="Tabela-Siatka">
    <w:name w:val="Table Grid"/>
    <w:basedOn w:val="Standardowy"/>
    <w:uiPriority w:val="59"/>
    <w:rsid w:val="00577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767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554EF"/>
    <w:rPr>
      <w:rFonts w:ascii="Tahoma" w:hAnsi="Tahoma" w:cs="Tahoma"/>
      <w:sz w:val="16"/>
      <w:szCs w:val="16"/>
    </w:rPr>
  </w:style>
  <w:style w:type="character" w:customStyle="1" w:styleId="TekstdymkaZnak">
    <w:name w:val="Tekst dymka Znak"/>
    <w:basedOn w:val="Domylnaczcionkaakapitu"/>
    <w:link w:val="Tekstdymka"/>
    <w:uiPriority w:val="99"/>
    <w:semiHidden/>
    <w:rsid w:val="009554EF"/>
    <w:rPr>
      <w:rFonts w:ascii="Tahoma" w:hAnsi="Tahoma" w:cs="Tahoma"/>
      <w:sz w:val="16"/>
      <w:szCs w:val="16"/>
    </w:rPr>
  </w:style>
  <w:style w:type="paragraph" w:styleId="Legenda">
    <w:name w:val="caption"/>
    <w:basedOn w:val="Normalny"/>
    <w:next w:val="Normalny"/>
    <w:qFormat/>
    <w:rsid w:val="00B03822"/>
    <w:pPr>
      <w:jc w:val="left"/>
    </w:pPr>
    <w:rPr>
      <w:rFonts w:eastAsia="Times New Roman" w:cs="Times New Roman"/>
      <w:b/>
      <w:bCs/>
      <w:sz w:val="20"/>
      <w:szCs w:val="20"/>
      <w:lang w:eastAsia="pl-PL"/>
    </w:rPr>
  </w:style>
  <w:style w:type="paragraph" w:styleId="Nagwek">
    <w:name w:val="header"/>
    <w:basedOn w:val="Normalny"/>
    <w:link w:val="NagwekZnak"/>
    <w:uiPriority w:val="99"/>
    <w:semiHidden/>
    <w:unhideWhenUsed/>
    <w:rsid w:val="00F24FA7"/>
    <w:pPr>
      <w:tabs>
        <w:tab w:val="center" w:pos="4536"/>
        <w:tab w:val="right" w:pos="9072"/>
      </w:tabs>
    </w:pPr>
  </w:style>
  <w:style w:type="character" w:customStyle="1" w:styleId="NagwekZnak">
    <w:name w:val="Nagłówek Znak"/>
    <w:basedOn w:val="Domylnaczcionkaakapitu"/>
    <w:link w:val="Nagwek"/>
    <w:uiPriority w:val="99"/>
    <w:semiHidden/>
    <w:rsid w:val="00F24FA7"/>
    <w:rPr>
      <w:rFonts w:ascii="Times New Roman" w:hAnsi="Times New Roman"/>
      <w:sz w:val="24"/>
    </w:rPr>
  </w:style>
  <w:style w:type="paragraph" w:styleId="Stopka">
    <w:name w:val="footer"/>
    <w:basedOn w:val="Normalny"/>
    <w:link w:val="StopkaZnak"/>
    <w:uiPriority w:val="99"/>
    <w:unhideWhenUsed/>
    <w:rsid w:val="00F24FA7"/>
    <w:pPr>
      <w:tabs>
        <w:tab w:val="center" w:pos="4536"/>
        <w:tab w:val="right" w:pos="9072"/>
      </w:tabs>
    </w:pPr>
  </w:style>
  <w:style w:type="character" w:customStyle="1" w:styleId="StopkaZnak">
    <w:name w:val="Stopka Znak"/>
    <w:basedOn w:val="Domylnaczcionkaakapitu"/>
    <w:link w:val="Stopka"/>
    <w:uiPriority w:val="99"/>
    <w:rsid w:val="00F24FA7"/>
    <w:rPr>
      <w:rFonts w:ascii="Times New Roman" w:hAnsi="Times New Roman"/>
      <w:sz w:val="24"/>
    </w:rPr>
  </w:style>
  <w:style w:type="character" w:styleId="Hipercze">
    <w:name w:val="Hyperlink"/>
    <w:basedOn w:val="Domylnaczcionkaakapitu"/>
    <w:rsid w:val="00913215"/>
    <w:rPr>
      <w:color w:val="0000FF"/>
      <w:u w:val="single"/>
    </w:rPr>
  </w:style>
  <w:style w:type="paragraph" w:customStyle="1" w:styleId="reference">
    <w:name w:val="reference"/>
    <w:basedOn w:val="Normalny"/>
    <w:autoRedefine/>
    <w:rsid w:val="000E1068"/>
    <w:pPr>
      <w:spacing w:after="40"/>
    </w:pPr>
    <w:rPr>
      <w:rFonts w:eastAsia="Times New Roman" w:cs="Times New Roman"/>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723">
      <w:bodyDiv w:val="1"/>
      <w:marLeft w:val="0"/>
      <w:marRight w:val="0"/>
      <w:marTop w:val="0"/>
      <w:marBottom w:val="0"/>
      <w:divBdr>
        <w:top w:val="none" w:sz="0" w:space="0" w:color="auto"/>
        <w:left w:val="none" w:sz="0" w:space="0" w:color="auto"/>
        <w:bottom w:val="none" w:sz="0" w:space="0" w:color="auto"/>
        <w:right w:val="none" w:sz="0" w:space="0" w:color="auto"/>
      </w:divBdr>
    </w:div>
    <w:div w:id="373115657">
      <w:bodyDiv w:val="1"/>
      <w:marLeft w:val="0"/>
      <w:marRight w:val="0"/>
      <w:marTop w:val="0"/>
      <w:marBottom w:val="0"/>
      <w:divBdr>
        <w:top w:val="none" w:sz="0" w:space="0" w:color="auto"/>
        <w:left w:val="none" w:sz="0" w:space="0" w:color="auto"/>
        <w:bottom w:val="none" w:sz="0" w:space="0" w:color="auto"/>
        <w:right w:val="none" w:sz="0" w:space="0" w:color="auto"/>
      </w:divBdr>
    </w:div>
    <w:div w:id="397482510">
      <w:bodyDiv w:val="1"/>
      <w:marLeft w:val="0"/>
      <w:marRight w:val="0"/>
      <w:marTop w:val="0"/>
      <w:marBottom w:val="0"/>
      <w:divBdr>
        <w:top w:val="none" w:sz="0" w:space="0" w:color="auto"/>
        <w:left w:val="none" w:sz="0" w:space="0" w:color="auto"/>
        <w:bottom w:val="none" w:sz="0" w:space="0" w:color="auto"/>
        <w:right w:val="none" w:sz="0" w:space="0" w:color="auto"/>
      </w:divBdr>
    </w:div>
    <w:div w:id="1297954377">
      <w:bodyDiv w:val="1"/>
      <w:marLeft w:val="0"/>
      <w:marRight w:val="0"/>
      <w:marTop w:val="0"/>
      <w:marBottom w:val="0"/>
      <w:divBdr>
        <w:top w:val="none" w:sz="0" w:space="0" w:color="auto"/>
        <w:left w:val="none" w:sz="0" w:space="0" w:color="auto"/>
        <w:bottom w:val="none" w:sz="0" w:space="0" w:color="auto"/>
        <w:right w:val="none" w:sz="0" w:space="0" w:color="auto"/>
      </w:divBdr>
    </w:div>
    <w:div w:id="1462268565">
      <w:bodyDiv w:val="1"/>
      <w:marLeft w:val="0"/>
      <w:marRight w:val="0"/>
      <w:marTop w:val="0"/>
      <w:marBottom w:val="0"/>
      <w:divBdr>
        <w:top w:val="none" w:sz="0" w:space="0" w:color="auto"/>
        <w:left w:val="none" w:sz="0" w:space="0" w:color="auto"/>
        <w:bottom w:val="none" w:sz="0" w:space="0" w:color="auto"/>
        <w:right w:val="none" w:sz="0" w:space="0" w:color="auto"/>
      </w:divBdr>
    </w:div>
    <w:div w:id="1555694863">
      <w:bodyDiv w:val="1"/>
      <w:marLeft w:val="0"/>
      <w:marRight w:val="0"/>
      <w:marTop w:val="0"/>
      <w:marBottom w:val="0"/>
      <w:divBdr>
        <w:top w:val="none" w:sz="0" w:space="0" w:color="auto"/>
        <w:left w:val="none" w:sz="0" w:space="0" w:color="auto"/>
        <w:bottom w:val="none" w:sz="0" w:space="0" w:color="auto"/>
        <w:right w:val="none" w:sz="0" w:space="0" w:color="auto"/>
      </w:divBdr>
    </w:div>
    <w:div w:id="1732849650">
      <w:bodyDiv w:val="1"/>
      <w:marLeft w:val="0"/>
      <w:marRight w:val="0"/>
      <w:marTop w:val="0"/>
      <w:marBottom w:val="0"/>
      <w:divBdr>
        <w:top w:val="none" w:sz="0" w:space="0" w:color="auto"/>
        <w:left w:val="none" w:sz="0" w:space="0" w:color="auto"/>
        <w:bottom w:val="none" w:sz="0" w:space="0" w:color="auto"/>
        <w:right w:val="none" w:sz="0" w:space="0" w:color="auto"/>
      </w:divBdr>
    </w:div>
    <w:div w:id="1764715618">
      <w:bodyDiv w:val="1"/>
      <w:marLeft w:val="0"/>
      <w:marRight w:val="0"/>
      <w:marTop w:val="0"/>
      <w:marBottom w:val="0"/>
      <w:divBdr>
        <w:top w:val="none" w:sz="0" w:space="0" w:color="auto"/>
        <w:left w:val="none" w:sz="0" w:space="0" w:color="auto"/>
        <w:bottom w:val="none" w:sz="0" w:space="0" w:color="auto"/>
        <w:right w:val="none" w:sz="0" w:space="0" w:color="auto"/>
      </w:divBdr>
    </w:div>
    <w:div w:id="18755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yborcza.biz/finanse/1,105684,10873023,OFE_nie_chca_zwiekszac_inwestycji_zagranicznych.html" TargetMode="External"/><Relationship Id="rId5" Type="http://schemas.openxmlformats.org/officeDocument/2006/relationships/settings" Target="settings.xml"/><Relationship Id="rId10" Type="http://schemas.openxmlformats.org/officeDocument/2006/relationships/hyperlink" Target="http://www.msci.com/products/indices/tools/index.html" TargetMode="External"/><Relationship Id="rId4" Type="http://schemas.microsoft.com/office/2007/relationships/stylesWithEffects" Target="stylesWithEffects.xml"/><Relationship Id="rId9" Type="http://schemas.openxmlformats.org/officeDocument/2006/relationships/hyperlink" Target="http://www.knf.gov.pl/opracowania/rynek_emerytalny/index.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16697-BE19-4278-B4A6-B4ACFDA2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25</Pages>
  <Words>4351</Words>
  <Characters>26106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Kurach</dc:creator>
  <cp:keywords/>
  <dc:description/>
  <cp:lastModifiedBy>Radek</cp:lastModifiedBy>
  <cp:revision>105</cp:revision>
  <cp:lastPrinted>2012-07-23T16:25:00Z</cp:lastPrinted>
  <dcterms:created xsi:type="dcterms:W3CDTF">2012-07-10T13:07:00Z</dcterms:created>
  <dcterms:modified xsi:type="dcterms:W3CDTF">2012-09-25T08:06:00Z</dcterms:modified>
</cp:coreProperties>
</file>