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6B" w:rsidRPr="004D6CAB" w:rsidRDefault="004E256B" w:rsidP="008936BD">
      <w:pPr>
        <w:spacing w:after="0"/>
        <w:jc w:val="both"/>
        <w:rPr>
          <w:rFonts w:ascii="Times New Roman" w:hAnsi="Times New Roman" w:cs="Times New Roman"/>
          <w:b/>
          <w:i/>
        </w:rPr>
      </w:pPr>
    </w:p>
    <w:p w:rsidR="0072572A" w:rsidRPr="004D6CAB" w:rsidRDefault="0072572A" w:rsidP="008936BD">
      <w:pPr>
        <w:spacing w:after="0"/>
        <w:jc w:val="both"/>
        <w:rPr>
          <w:rFonts w:ascii="Times New Roman" w:hAnsi="Times New Roman" w:cs="Times New Roman"/>
          <w:b/>
          <w:i/>
        </w:rPr>
      </w:pPr>
    </w:p>
    <w:p w:rsidR="0072572A" w:rsidRPr="005F01F2" w:rsidRDefault="0072572A" w:rsidP="008936BD">
      <w:pPr>
        <w:spacing w:after="0"/>
        <w:jc w:val="center"/>
        <w:rPr>
          <w:rFonts w:ascii="Times New Roman" w:hAnsi="Times New Roman" w:cs="Times New Roman"/>
          <w:b/>
          <w:sz w:val="32"/>
          <w:szCs w:val="32"/>
        </w:rPr>
      </w:pPr>
      <w:r w:rsidRPr="005F01F2">
        <w:rPr>
          <w:rFonts w:ascii="Times New Roman" w:hAnsi="Times New Roman" w:cs="Times New Roman"/>
          <w:b/>
          <w:sz w:val="32"/>
          <w:szCs w:val="32"/>
        </w:rPr>
        <w:t>Equity issues of the Romanian pension system</w:t>
      </w:r>
    </w:p>
    <w:p w:rsidR="0057471C" w:rsidRPr="004D6CAB" w:rsidRDefault="0057471C" w:rsidP="008936BD">
      <w:pPr>
        <w:spacing w:after="0"/>
        <w:jc w:val="center"/>
        <w:rPr>
          <w:rFonts w:ascii="Times New Roman" w:hAnsi="Times New Roman" w:cs="Times New Roman"/>
          <w:sz w:val="32"/>
          <w:szCs w:val="32"/>
        </w:rPr>
      </w:pPr>
    </w:p>
    <w:p w:rsidR="0057471C" w:rsidRPr="004D6CAB" w:rsidRDefault="0057471C" w:rsidP="008936BD">
      <w:pPr>
        <w:spacing w:after="0"/>
        <w:jc w:val="center"/>
        <w:rPr>
          <w:rFonts w:ascii="Times New Roman" w:hAnsi="Times New Roman" w:cs="Times New Roman"/>
          <w:lang w:val="fr-FR"/>
        </w:rPr>
      </w:pPr>
      <w:proofErr w:type="spellStart"/>
      <w:r w:rsidRPr="004D6CAB">
        <w:rPr>
          <w:rFonts w:ascii="Times New Roman" w:hAnsi="Times New Roman" w:cs="Times New Roman"/>
          <w:lang w:val="fr-FR"/>
        </w:rPr>
        <w:t>Alina</w:t>
      </w:r>
      <w:proofErr w:type="spellEnd"/>
      <w:r w:rsidR="00422B93" w:rsidRPr="004D6CAB">
        <w:rPr>
          <w:rFonts w:ascii="Times New Roman" w:hAnsi="Times New Roman" w:cs="Times New Roman"/>
          <w:lang w:val="fr-FR"/>
        </w:rPr>
        <w:t xml:space="preserve"> </w:t>
      </w:r>
      <w:proofErr w:type="spellStart"/>
      <w:r w:rsidR="00422B93" w:rsidRPr="004D6CAB">
        <w:rPr>
          <w:rFonts w:ascii="Times New Roman" w:hAnsi="Times New Roman" w:cs="Times New Roman"/>
          <w:lang w:val="fr-FR"/>
        </w:rPr>
        <w:t>Nuta</w:t>
      </w:r>
      <w:proofErr w:type="spellEnd"/>
      <w:r w:rsidR="00422B93" w:rsidRPr="004D6CAB">
        <w:rPr>
          <w:rStyle w:val="Appelnotedebasdep"/>
          <w:rFonts w:ascii="Times New Roman" w:hAnsi="Times New Roman" w:cs="Times New Roman"/>
        </w:rPr>
        <w:footnoteReference w:id="1"/>
      </w:r>
    </w:p>
    <w:p w:rsidR="00422B93" w:rsidRPr="004D6CAB" w:rsidRDefault="00422B93" w:rsidP="008936BD">
      <w:pPr>
        <w:spacing w:after="0"/>
        <w:jc w:val="center"/>
        <w:rPr>
          <w:rFonts w:ascii="Times New Roman" w:hAnsi="Times New Roman" w:cs="Times New Roman"/>
          <w:lang w:val="fr-FR"/>
        </w:rPr>
      </w:pPr>
      <w:r w:rsidRPr="004D6CAB">
        <w:rPr>
          <w:rFonts w:ascii="Times New Roman" w:hAnsi="Times New Roman" w:cs="Times New Roman"/>
          <w:lang w:val="fr-FR"/>
        </w:rPr>
        <w:t>Constantin Zaman</w:t>
      </w:r>
      <w:r w:rsidRPr="004D6CAB">
        <w:rPr>
          <w:rStyle w:val="Appelnotedebasdep"/>
          <w:rFonts w:ascii="Times New Roman" w:hAnsi="Times New Roman" w:cs="Times New Roman"/>
        </w:rPr>
        <w:footnoteReference w:id="2"/>
      </w:r>
    </w:p>
    <w:p w:rsidR="00422B93" w:rsidRPr="004D6CAB" w:rsidRDefault="00422B93" w:rsidP="008936BD">
      <w:pPr>
        <w:spacing w:after="0"/>
        <w:jc w:val="center"/>
        <w:rPr>
          <w:rFonts w:ascii="Times New Roman" w:hAnsi="Times New Roman" w:cs="Times New Roman"/>
          <w:lang w:val="fr-FR"/>
        </w:rPr>
      </w:pPr>
    </w:p>
    <w:p w:rsidR="0057471C" w:rsidRPr="004D6CAB" w:rsidRDefault="0057471C" w:rsidP="008936BD">
      <w:pPr>
        <w:spacing w:after="0"/>
        <w:jc w:val="center"/>
        <w:rPr>
          <w:rFonts w:ascii="Times New Roman" w:hAnsi="Times New Roman" w:cs="Times New Roman"/>
          <w:i/>
          <w:sz w:val="32"/>
          <w:szCs w:val="32"/>
          <w:lang w:val="fr-FR"/>
        </w:rPr>
      </w:pPr>
    </w:p>
    <w:p w:rsidR="0057471C" w:rsidRPr="004D6CAB" w:rsidRDefault="0057471C" w:rsidP="008936BD">
      <w:pPr>
        <w:spacing w:after="0"/>
        <w:jc w:val="center"/>
        <w:rPr>
          <w:rFonts w:ascii="Times New Roman" w:hAnsi="Times New Roman" w:cs="Times New Roman"/>
          <w:i/>
          <w:sz w:val="32"/>
          <w:szCs w:val="32"/>
          <w:lang w:val="fr-FR"/>
        </w:rPr>
      </w:pPr>
    </w:p>
    <w:p w:rsidR="0072572A" w:rsidRPr="004D6CAB" w:rsidRDefault="00892F31" w:rsidP="008936BD">
      <w:pPr>
        <w:spacing w:after="0"/>
        <w:jc w:val="both"/>
        <w:rPr>
          <w:rFonts w:ascii="Times New Roman" w:hAnsi="Times New Roman" w:cs="Times New Roman"/>
          <w:b/>
          <w:i/>
          <w:lang w:val="fr-FR"/>
        </w:rPr>
      </w:pPr>
      <w:r w:rsidRPr="004D6CAB">
        <w:rPr>
          <w:rFonts w:ascii="Times New Roman" w:hAnsi="Times New Roman" w:cs="Times New Roman"/>
          <w:b/>
          <w:i/>
          <w:lang w:val="fr-FR"/>
        </w:rPr>
        <w:t>Abstract:</w:t>
      </w:r>
    </w:p>
    <w:p w:rsidR="00892F31" w:rsidRPr="004D6CAB" w:rsidRDefault="00892F31" w:rsidP="008936BD">
      <w:pPr>
        <w:spacing w:after="0"/>
        <w:jc w:val="both"/>
        <w:rPr>
          <w:rFonts w:ascii="Times New Roman" w:hAnsi="Times New Roman" w:cs="Times New Roman"/>
          <w:lang w:val="fr-FR"/>
        </w:rPr>
      </w:pPr>
    </w:p>
    <w:p w:rsidR="00892F31" w:rsidRPr="004D6CAB" w:rsidRDefault="00892F31" w:rsidP="008936BD">
      <w:pPr>
        <w:spacing w:after="0"/>
        <w:jc w:val="both"/>
        <w:rPr>
          <w:rFonts w:ascii="Times New Roman" w:hAnsi="Times New Roman" w:cs="Times New Roman"/>
          <w:sz w:val="22"/>
          <w:szCs w:val="22"/>
        </w:rPr>
      </w:pPr>
      <w:r w:rsidRPr="004D6CAB">
        <w:rPr>
          <w:rFonts w:ascii="Times New Roman" w:hAnsi="Times New Roman" w:cs="Times New Roman"/>
          <w:sz w:val="22"/>
          <w:szCs w:val="22"/>
        </w:rPr>
        <w:t xml:space="preserve">The main objective of </w:t>
      </w:r>
      <w:r w:rsidR="00B3625D" w:rsidRPr="004D6CAB">
        <w:rPr>
          <w:rFonts w:ascii="Times New Roman" w:hAnsi="Times New Roman" w:cs="Times New Roman"/>
          <w:sz w:val="22"/>
          <w:szCs w:val="22"/>
        </w:rPr>
        <w:t xml:space="preserve">this study </w:t>
      </w:r>
      <w:r w:rsidRPr="004D6CAB">
        <w:rPr>
          <w:rFonts w:ascii="Times New Roman" w:hAnsi="Times New Roman" w:cs="Times New Roman"/>
          <w:sz w:val="22"/>
          <w:szCs w:val="22"/>
        </w:rPr>
        <w:t xml:space="preserve">is to analyze the equity issues of the Romanian pension system. </w:t>
      </w:r>
      <w:r w:rsidR="007C75E1" w:rsidRPr="004D6CAB">
        <w:rPr>
          <w:rFonts w:ascii="Times New Roman" w:hAnsi="Times New Roman" w:cs="Times New Roman"/>
          <w:sz w:val="22"/>
          <w:szCs w:val="22"/>
        </w:rPr>
        <w:t>Th</w:t>
      </w:r>
      <w:r w:rsidR="00B3625D" w:rsidRPr="004D6CAB">
        <w:rPr>
          <w:rFonts w:ascii="Times New Roman" w:hAnsi="Times New Roman" w:cs="Times New Roman"/>
          <w:sz w:val="22"/>
          <w:szCs w:val="22"/>
        </w:rPr>
        <w:t xml:space="preserve">e analysis is carried out at two levels: the </w:t>
      </w:r>
      <w:r w:rsidRPr="004D6CAB">
        <w:rPr>
          <w:rFonts w:ascii="Times New Roman" w:hAnsi="Times New Roman" w:cs="Times New Roman"/>
          <w:sz w:val="22"/>
          <w:szCs w:val="22"/>
        </w:rPr>
        <w:t>nationwide</w:t>
      </w:r>
      <w:r w:rsidR="00B3625D" w:rsidRPr="004D6CAB">
        <w:rPr>
          <w:rFonts w:ascii="Times New Roman" w:hAnsi="Times New Roman" w:cs="Times New Roman"/>
          <w:sz w:val="22"/>
          <w:szCs w:val="22"/>
        </w:rPr>
        <w:t xml:space="preserve"> one</w:t>
      </w:r>
      <w:r w:rsidRPr="004D6CAB">
        <w:rPr>
          <w:rFonts w:ascii="Times New Roman" w:hAnsi="Times New Roman" w:cs="Times New Roman"/>
          <w:sz w:val="22"/>
          <w:szCs w:val="22"/>
        </w:rPr>
        <w:t>, aim</w:t>
      </w:r>
      <w:r w:rsidR="00B3625D" w:rsidRPr="004D6CAB">
        <w:rPr>
          <w:rFonts w:ascii="Times New Roman" w:hAnsi="Times New Roman" w:cs="Times New Roman"/>
          <w:sz w:val="22"/>
          <w:szCs w:val="22"/>
        </w:rPr>
        <w:t>ed at</w:t>
      </w:r>
      <w:r w:rsidRPr="004D6CAB">
        <w:rPr>
          <w:rFonts w:ascii="Times New Roman" w:hAnsi="Times New Roman" w:cs="Times New Roman"/>
          <w:sz w:val="22"/>
          <w:szCs w:val="22"/>
        </w:rPr>
        <w:t xml:space="preserve"> </w:t>
      </w:r>
      <w:r w:rsidR="00B3625D" w:rsidRPr="004D6CAB">
        <w:rPr>
          <w:rFonts w:ascii="Times New Roman" w:hAnsi="Times New Roman" w:cs="Times New Roman"/>
          <w:sz w:val="22"/>
          <w:szCs w:val="22"/>
        </w:rPr>
        <w:t xml:space="preserve">identifying </w:t>
      </w:r>
      <w:r w:rsidRPr="004D6CAB">
        <w:rPr>
          <w:rFonts w:ascii="Times New Roman" w:hAnsi="Times New Roman" w:cs="Times New Roman"/>
          <w:sz w:val="22"/>
          <w:szCs w:val="22"/>
        </w:rPr>
        <w:t xml:space="preserve">the </w:t>
      </w:r>
      <w:r w:rsidR="007C75E1" w:rsidRPr="004D6CAB">
        <w:rPr>
          <w:rFonts w:ascii="Times New Roman" w:hAnsi="Times New Roman" w:cs="Times New Roman"/>
          <w:sz w:val="22"/>
          <w:szCs w:val="22"/>
        </w:rPr>
        <w:t xml:space="preserve">welfare </w:t>
      </w:r>
      <w:r w:rsidRPr="004D6CAB">
        <w:rPr>
          <w:rFonts w:ascii="Times New Roman" w:hAnsi="Times New Roman" w:cs="Times New Roman"/>
          <w:sz w:val="22"/>
          <w:szCs w:val="22"/>
        </w:rPr>
        <w:t xml:space="preserve">implications of </w:t>
      </w:r>
      <w:r w:rsidR="00B3625D" w:rsidRPr="004D6CAB">
        <w:rPr>
          <w:rFonts w:ascii="Times New Roman" w:hAnsi="Times New Roman" w:cs="Times New Roman"/>
          <w:sz w:val="22"/>
          <w:szCs w:val="22"/>
        </w:rPr>
        <w:t xml:space="preserve">recent </w:t>
      </w:r>
      <w:r w:rsidRPr="004D6CAB">
        <w:rPr>
          <w:rFonts w:ascii="Times New Roman" w:hAnsi="Times New Roman" w:cs="Times New Roman"/>
          <w:sz w:val="22"/>
          <w:szCs w:val="22"/>
        </w:rPr>
        <w:t>reform</w:t>
      </w:r>
      <w:r w:rsidR="00B3625D" w:rsidRPr="004D6CAB">
        <w:rPr>
          <w:rFonts w:ascii="Times New Roman" w:hAnsi="Times New Roman" w:cs="Times New Roman"/>
          <w:sz w:val="22"/>
          <w:szCs w:val="22"/>
        </w:rPr>
        <w:t xml:space="preserve">s adopted by the </w:t>
      </w:r>
      <w:r w:rsidRPr="004D6CAB">
        <w:rPr>
          <w:rFonts w:ascii="Times New Roman" w:hAnsi="Times New Roman" w:cs="Times New Roman"/>
          <w:sz w:val="22"/>
          <w:szCs w:val="22"/>
        </w:rPr>
        <w:t>Romania</w:t>
      </w:r>
      <w:r w:rsidR="00B3625D" w:rsidRPr="004D6CAB">
        <w:rPr>
          <w:rFonts w:ascii="Times New Roman" w:hAnsi="Times New Roman" w:cs="Times New Roman"/>
          <w:sz w:val="22"/>
          <w:szCs w:val="22"/>
        </w:rPr>
        <w:t xml:space="preserve">n government </w:t>
      </w:r>
      <w:r w:rsidR="001B2503" w:rsidRPr="004D6CAB">
        <w:rPr>
          <w:rFonts w:ascii="Times New Roman" w:hAnsi="Times New Roman" w:cs="Times New Roman"/>
          <w:sz w:val="22"/>
          <w:szCs w:val="22"/>
        </w:rPr>
        <w:t>on the unitary system of pensions</w:t>
      </w:r>
      <w:r w:rsidR="00D2021B" w:rsidRPr="004D6CAB">
        <w:rPr>
          <w:rFonts w:ascii="Times New Roman" w:hAnsi="Times New Roman" w:cs="Times New Roman"/>
          <w:sz w:val="22"/>
          <w:szCs w:val="22"/>
        </w:rPr>
        <w:t>; the</w:t>
      </w:r>
      <w:r w:rsidR="001B2503" w:rsidRPr="004D6CAB">
        <w:rPr>
          <w:rFonts w:ascii="Times New Roman" w:hAnsi="Times New Roman" w:cs="Times New Roman"/>
          <w:sz w:val="22"/>
          <w:szCs w:val="22"/>
        </w:rPr>
        <w:t xml:space="preserve"> </w:t>
      </w:r>
      <w:r w:rsidRPr="004D6CAB">
        <w:rPr>
          <w:rFonts w:ascii="Times New Roman" w:hAnsi="Times New Roman" w:cs="Times New Roman"/>
          <w:sz w:val="22"/>
          <w:szCs w:val="22"/>
        </w:rPr>
        <w:t>regional</w:t>
      </w:r>
      <w:r w:rsidR="001B2503" w:rsidRPr="004D6CAB">
        <w:rPr>
          <w:rFonts w:ascii="Times New Roman" w:hAnsi="Times New Roman" w:cs="Times New Roman"/>
          <w:sz w:val="22"/>
          <w:szCs w:val="22"/>
        </w:rPr>
        <w:t xml:space="preserve"> level</w:t>
      </w:r>
      <w:r w:rsidRPr="004D6CAB">
        <w:rPr>
          <w:rFonts w:ascii="Times New Roman" w:hAnsi="Times New Roman" w:cs="Times New Roman"/>
          <w:sz w:val="22"/>
          <w:szCs w:val="22"/>
        </w:rPr>
        <w:t>, wh</w:t>
      </w:r>
      <w:r w:rsidR="001B2503" w:rsidRPr="004D6CAB">
        <w:rPr>
          <w:rFonts w:ascii="Times New Roman" w:hAnsi="Times New Roman" w:cs="Times New Roman"/>
          <w:sz w:val="22"/>
          <w:szCs w:val="22"/>
        </w:rPr>
        <w:t xml:space="preserve">ere we try to identify </w:t>
      </w:r>
      <w:r w:rsidRPr="004D6CAB">
        <w:rPr>
          <w:rFonts w:ascii="Times New Roman" w:hAnsi="Times New Roman" w:cs="Times New Roman"/>
          <w:sz w:val="22"/>
          <w:szCs w:val="22"/>
        </w:rPr>
        <w:t>differences</w:t>
      </w:r>
      <w:r w:rsidR="00FB26EA" w:rsidRPr="004D6CAB">
        <w:rPr>
          <w:rFonts w:ascii="Times New Roman" w:hAnsi="Times New Roman" w:cs="Times New Roman"/>
          <w:sz w:val="22"/>
          <w:szCs w:val="22"/>
        </w:rPr>
        <w:t xml:space="preserve"> and </w:t>
      </w:r>
      <w:r w:rsidRPr="004D6CAB">
        <w:rPr>
          <w:rFonts w:ascii="Times New Roman" w:hAnsi="Times New Roman" w:cs="Times New Roman"/>
          <w:sz w:val="22"/>
          <w:szCs w:val="22"/>
        </w:rPr>
        <w:t>similarities</w:t>
      </w:r>
      <w:r w:rsidR="00FB26EA" w:rsidRPr="004D6CAB">
        <w:rPr>
          <w:rFonts w:ascii="Times New Roman" w:hAnsi="Times New Roman" w:cs="Times New Roman"/>
          <w:sz w:val="22"/>
          <w:szCs w:val="22"/>
        </w:rPr>
        <w:t xml:space="preserve"> across counties with respect to </w:t>
      </w:r>
      <w:r w:rsidRPr="004D6CAB">
        <w:rPr>
          <w:rFonts w:ascii="Times New Roman" w:hAnsi="Times New Roman" w:cs="Times New Roman"/>
          <w:sz w:val="22"/>
          <w:szCs w:val="22"/>
        </w:rPr>
        <w:t xml:space="preserve">nominal and real average </w:t>
      </w:r>
      <w:r w:rsidR="00FB26EA" w:rsidRPr="004D6CAB">
        <w:rPr>
          <w:rFonts w:ascii="Times New Roman" w:hAnsi="Times New Roman" w:cs="Times New Roman"/>
          <w:sz w:val="22"/>
          <w:szCs w:val="22"/>
        </w:rPr>
        <w:t xml:space="preserve">benefits received by </w:t>
      </w:r>
      <w:r w:rsidRPr="004D6CAB">
        <w:rPr>
          <w:rFonts w:ascii="Times New Roman" w:hAnsi="Times New Roman" w:cs="Times New Roman"/>
          <w:sz w:val="22"/>
          <w:szCs w:val="22"/>
        </w:rPr>
        <w:t>pension</w:t>
      </w:r>
      <w:r w:rsidR="00FB26EA" w:rsidRPr="004D6CAB">
        <w:rPr>
          <w:rFonts w:ascii="Times New Roman" w:hAnsi="Times New Roman" w:cs="Times New Roman"/>
          <w:sz w:val="22"/>
          <w:szCs w:val="22"/>
        </w:rPr>
        <w:t>er</w:t>
      </w:r>
      <w:r w:rsidRPr="004D6CAB">
        <w:rPr>
          <w:rFonts w:ascii="Times New Roman" w:hAnsi="Times New Roman" w:cs="Times New Roman"/>
          <w:sz w:val="22"/>
          <w:szCs w:val="22"/>
        </w:rPr>
        <w:t>s.</w:t>
      </w:r>
      <w:r w:rsidR="00FB26EA" w:rsidRPr="004D6CAB">
        <w:rPr>
          <w:rFonts w:ascii="Times New Roman" w:hAnsi="Times New Roman" w:cs="Times New Roman"/>
          <w:sz w:val="22"/>
          <w:szCs w:val="22"/>
        </w:rPr>
        <w:t xml:space="preserve"> The conclusions of the analysis show that </w:t>
      </w:r>
      <w:r w:rsidR="00B971A6" w:rsidRPr="004D6CAB">
        <w:rPr>
          <w:rFonts w:ascii="Times New Roman" w:hAnsi="Times New Roman" w:cs="Times New Roman"/>
          <w:sz w:val="22"/>
          <w:szCs w:val="22"/>
        </w:rPr>
        <w:t xml:space="preserve">the new pension law ended up with an increase of the average benefit for high pensions, while low benefits remained practically the same as they were before the reform. </w:t>
      </w:r>
      <w:r w:rsidR="005D1E51" w:rsidRPr="004D6CAB">
        <w:rPr>
          <w:rFonts w:ascii="Times New Roman" w:hAnsi="Times New Roman" w:cs="Times New Roman"/>
          <w:sz w:val="22"/>
          <w:szCs w:val="22"/>
        </w:rPr>
        <w:t xml:space="preserve">At regional level, in most of the counties the average real pension (indexed by the cost of living) is above the nominal one. </w:t>
      </w:r>
      <w:r w:rsidR="00B971A6" w:rsidRPr="004D6CAB">
        <w:rPr>
          <w:rFonts w:ascii="Times New Roman" w:hAnsi="Times New Roman" w:cs="Times New Roman"/>
          <w:sz w:val="22"/>
          <w:szCs w:val="22"/>
        </w:rPr>
        <w:t xml:space="preserve">   </w:t>
      </w:r>
    </w:p>
    <w:p w:rsidR="00892F31" w:rsidRPr="004D6CAB" w:rsidRDefault="00892F31" w:rsidP="008936BD">
      <w:pPr>
        <w:spacing w:after="0"/>
        <w:jc w:val="both"/>
        <w:rPr>
          <w:rFonts w:ascii="Times New Roman" w:hAnsi="Times New Roman" w:cs="Times New Roman"/>
        </w:rPr>
      </w:pPr>
    </w:p>
    <w:p w:rsidR="0072572A" w:rsidRPr="004D6CAB" w:rsidRDefault="0072572A" w:rsidP="008936BD">
      <w:pPr>
        <w:spacing w:after="0"/>
        <w:jc w:val="both"/>
        <w:rPr>
          <w:rFonts w:ascii="Times New Roman" w:hAnsi="Times New Roman" w:cs="Times New Roman"/>
          <w:b/>
          <w:i/>
        </w:rPr>
      </w:pPr>
    </w:p>
    <w:p w:rsidR="0072572A" w:rsidRPr="004D6CAB" w:rsidRDefault="0072572A" w:rsidP="008936BD">
      <w:pPr>
        <w:pStyle w:val="Paragraphedeliste"/>
        <w:numPr>
          <w:ilvl w:val="0"/>
          <w:numId w:val="1"/>
        </w:numPr>
        <w:spacing w:after="0"/>
        <w:jc w:val="both"/>
        <w:rPr>
          <w:rFonts w:ascii="Times New Roman" w:hAnsi="Times New Roman" w:cs="Times New Roman"/>
          <w:b/>
          <w:i/>
          <w:sz w:val="28"/>
          <w:szCs w:val="28"/>
        </w:rPr>
      </w:pPr>
      <w:r w:rsidRPr="004D6CAB">
        <w:rPr>
          <w:rFonts w:ascii="Times New Roman" w:hAnsi="Times New Roman" w:cs="Times New Roman"/>
          <w:b/>
          <w:sz w:val="28"/>
          <w:szCs w:val="28"/>
        </w:rPr>
        <w:t xml:space="preserve">Introduction: </w:t>
      </w:r>
      <w:r w:rsidR="00DC586F" w:rsidRPr="004D6CAB">
        <w:rPr>
          <w:rFonts w:ascii="Times New Roman" w:hAnsi="Times New Roman" w:cs="Times New Roman"/>
          <w:b/>
          <w:sz w:val="28"/>
          <w:szCs w:val="28"/>
        </w:rPr>
        <w:t xml:space="preserve">sustainability </w:t>
      </w:r>
      <w:r w:rsidR="00580987" w:rsidRPr="004D6CAB">
        <w:rPr>
          <w:rFonts w:ascii="Times New Roman" w:hAnsi="Times New Roman" w:cs="Times New Roman"/>
          <w:b/>
          <w:sz w:val="28"/>
          <w:szCs w:val="28"/>
        </w:rPr>
        <w:t xml:space="preserve">versus adequacy </w:t>
      </w:r>
      <w:r w:rsidR="00DC586F" w:rsidRPr="004D6CAB">
        <w:rPr>
          <w:rFonts w:ascii="Times New Roman" w:hAnsi="Times New Roman" w:cs="Times New Roman"/>
          <w:b/>
          <w:sz w:val="28"/>
          <w:szCs w:val="28"/>
        </w:rPr>
        <w:t>of pension</w:t>
      </w:r>
      <w:r w:rsidR="00580987" w:rsidRPr="004D6CAB">
        <w:rPr>
          <w:rFonts w:ascii="Times New Roman" w:hAnsi="Times New Roman" w:cs="Times New Roman"/>
          <w:b/>
          <w:sz w:val="28"/>
          <w:szCs w:val="28"/>
        </w:rPr>
        <w:t xml:space="preserve"> </w:t>
      </w:r>
      <w:r w:rsidR="00DC586F" w:rsidRPr="004D6CAB">
        <w:rPr>
          <w:rFonts w:ascii="Times New Roman" w:hAnsi="Times New Roman" w:cs="Times New Roman"/>
          <w:b/>
          <w:sz w:val="28"/>
          <w:szCs w:val="28"/>
        </w:rPr>
        <w:t>s</w:t>
      </w:r>
      <w:r w:rsidR="00580987" w:rsidRPr="004D6CAB">
        <w:rPr>
          <w:rFonts w:ascii="Times New Roman" w:hAnsi="Times New Roman" w:cs="Times New Roman"/>
          <w:b/>
          <w:sz w:val="28"/>
          <w:szCs w:val="28"/>
        </w:rPr>
        <w:t>ystems</w:t>
      </w:r>
      <w:r w:rsidR="00DC586F" w:rsidRPr="004D6CAB">
        <w:rPr>
          <w:rFonts w:ascii="Times New Roman" w:hAnsi="Times New Roman" w:cs="Times New Roman"/>
          <w:b/>
          <w:sz w:val="28"/>
          <w:szCs w:val="28"/>
        </w:rPr>
        <w:t xml:space="preserve"> in the economic literature</w:t>
      </w:r>
    </w:p>
    <w:p w:rsidR="00DC586F" w:rsidRPr="004D6CAB" w:rsidRDefault="00DC586F" w:rsidP="008936BD">
      <w:pPr>
        <w:spacing w:after="0"/>
        <w:jc w:val="both"/>
        <w:rPr>
          <w:rFonts w:ascii="Times New Roman" w:hAnsi="Times New Roman" w:cs="Times New Roman"/>
        </w:rPr>
      </w:pPr>
    </w:p>
    <w:p w:rsidR="001D4ED0" w:rsidRPr="004D6CAB" w:rsidRDefault="00DC586F" w:rsidP="008936BD">
      <w:pPr>
        <w:spacing w:after="0"/>
        <w:jc w:val="both"/>
        <w:rPr>
          <w:rFonts w:ascii="Times New Roman" w:hAnsi="Times New Roman" w:cs="Times New Roman"/>
        </w:rPr>
      </w:pPr>
      <w:r w:rsidRPr="004D6CAB">
        <w:rPr>
          <w:rFonts w:ascii="Times New Roman" w:hAnsi="Times New Roman" w:cs="Times New Roman"/>
        </w:rPr>
        <w:t>Ample debates have taken place during the last decade with respect to the sustainability of pension systems</w:t>
      </w:r>
      <w:r w:rsidR="007138AD" w:rsidRPr="004D6CAB">
        <w:rPr>
          <w:rFonts w:ascii="Times New Roman" w:hAnsi="Times New Roman" w:cs="Times New Roman"/>
        </w:rPr>
        <w:t>, in particular in developed countries</w:t>
      </w:r>
      <w:r w:rsidR="00892E0E">
        <w:rPr>
          <w:rFonts w:ascii="Times New Roman" w:hAnsi="Times New Roman" w:cs="Times New Roman"/>
        </w:rPr>
        <w:t>,</w:t>
      </w:r>
      <w:r w:rsidR="007138AD" w:rsidRPr="004D6CAB">
        <w:rPr>
          <w:rFonts w:ascii="Times New Roman" w:hAnsi="Times New Roman" w:cs="Times New Roman"/>
        </w:rPr>
        <w:t xml:space="preserve"> where the population ageing </w:t>
      </w:r>
      <w:r w:rsidR="0025321D" w:rsidRPr="004D6CAB">
        <w:rPr>
          <w:rFonts w:ascii="Times New Roman" w:hAnsi="Times New Roman" w:cs="Times New Roman"/>
        </w:rPr>
        <w:t>represents a real challenge. The</w:t>
      </w:r>
      <w:r w:rsidR="00264BC7" w:rsidRPr="004D6CAB">
        <w:rPr>
          <w:rFonts w:ascii="Times New Roman" w:hAnsi="Times New Roman" w:cs="Times New Roman"/>
        </w:rPr>
        <w:t xml:space="preserve"> </w:t>
      </w:r>
      <w:r w:rsidR="007138AD" w:rsidRPr="004D6CAB">
        <w:rPr>
          <w:rFonts w:ascii="Times New Roman" w:hAnsi="Times New Roman" w:cs="Times New Roman"/>
        </w:rPr>
        <w:t>phenomenon</w:t>
      </w:r>
      <w:r w:rsidR="00264BC7" w:rsidRPr="004D6CAB">
        <w:rPr>
          <w:rFonts w:ascii="Times New Roman" w:hAnsi="Times New Roman" w:cs="Times New Roman"/>
        </w:rPr>
        <w:t xml:space="preserve"> is also present in</w:t>
      </w:r>
      <w:r w:rsidR="0025321D" w:rsidRPr="004D6CAB">
        <w:rPr>
          <w:rFonts w:ascii="Times New Roman" w:hAnsi="Times New Roman" w:cs="Times New Roman"/>
        </w:rPr>
        <w:t xml:space="preserve"> an increasing number of</w:t>
      </w:r>
      <w:r w:rsidR="00264BC7" w:rsidRPr="004D6CAB">
        <w:rPr>
          <w:rFonts w:ascii="Times New Roman" w:hAnsi="Times New Roman" w:cs="Times New Roman"/>
        </w:rPr>
        <w:t xml:space="preserve"> emerging economies</w:t>
      </w:r>
      <w:r w:rsidR="003F57E9" w:rsidRPr="004D6CAB">
        <w:rPr>
          <w:rFonts w:ascii="Times New Roman" w:hAnsi="Times New Roman" w:cs="Times New Roman"/>
        </w:rPr>
        <w:t xml:space="preserve"> (</w:t>
      </w:r>
      <w:proofErr w:type="spellStart"/>
      <w:r w:rsidR="00DF4F80" w:rsidRPr="004D6CAB">
        <w:rPr>
          <w:rFonts w:ascii="Times New Roman" w:hAnsi="Times New Roman" w:cs="Times New Roman"/>
        </w:rPr>
        <w:t>Holzmann</w:t>
      </w:r>
      <w:proofErr w:type="spellEnd"/>
      <w:r w:rsidR="00DF4F80" w:rsidRPr="004D6CAB">
        <w:rPr>
          <w:rFonts w:ascii="Times New Roman" w:hAnsi="Times New Roman" w:cs="Times New Roman"/>
        </w:rPr>
        <w:t xml:space="preserve">, 2009, </w:t>
      </w:r>
      <w:proofErr w:type="spellStart"/>
      <w:r w:rsidR="00DF4F80" w:rsidRPr="004D6CAB">
        <w:rPr>
          <w:rFonts w:ascii="Times New Roman" w:hAnsi="Times New Roman" w:cs="Times New Roman"/>
        </w:rPr>
        <w:t>Holzmann</w:t>
      </w:r>
      <w:proofErr w:type="spellEnd"/>
      <w:r w:rsidR="00DF4F80" w:rsidRPr="004D6CAB">
        <w:rPr>
          <w:rFonts w:ascii="Times New Roman" w:hAnsi="Times New Roman" w:cs="Times New Roman"/>
        </w:rPr>
        <w:t xml:space="preserve"> et al, 2008 and </w:t>
      </w:r>
      <w:r w:rsidR="003F57E9" w:rsidRPr="004D6CAB">
        <w:rPr>
          <w:rFonts w:ascii="Times New Roman" w:hAnsi="Times New Roman" w:cs="Times New Roman"/>
        </w:rPr>
        <w:t>Lee et al, 2010)</w:t>
      </w:r>
      <w:r w:rsidR="0025321D" w:rsidRPr="004D6CAB">
        <w:rPr>
          <w:rFonts w:ascii="Times New Roman" w:hAnsi="Times New Roman" w:cs="Times New Roman"/>
        </w:rPr>
        <w:t xml:space="preserve"> and is particularly stringent in Eastern European countries (</w:t>
      </w:r>
      <w:proofErr w:type="spellStart"/>
      <w:r w:rsidR="0025321D" w:rsidRPr="004D6CAB">
        <w:rPr>
          <w:rFonts w:ascii="Times New Roman" w:hAnsi="Times New Roman" w:cs="Times New Roman"/>
        </w:rPr>
        <w:t>Mitra</w:t>
      </w:r>
      <w:proofErr w:type="spellEnd"/>
      <w:r w:rsidR="0025321D" w:rsidRPr="004D6CAB">
        <w:rPr>
          <w:rFonts w:ascii="Times New Roman" w:hAnsi="Times New Roman" w:cs="Times New Roman"/>
        </w:rPr>
        <w:t>, 2008)</w:t>
      </w:r>
      <w:r w:rsidR="00264BC7" w:rsidRPr="004D6CAB">
        <w:rPr>
          <w:rFonts w:ascii="Times New Roman" w:hAnsi="Times New Roman" w:cs="Times New Roman"/>
        </w:rPr>
        <w:t xml:space="preserve">. </w:t>
      </w:r>
      <w:r w:rsidR="0025321D" w:rsidRPr="004D6CAB">
        <w:rPr>
          <w:rFonts w:ascii="Times New Roman" w:hAnsi="Times New Roman" w:cs="Times New Roman"/>
        </w:rPr>
        <w:t>T</w:t>
      </w:r>
      <w:r w:rsidR="005B644D" w:rsidRPr="004D6CAB">
        <w:rPr>
          <w:rFonts w:ascii="Times New Roman" w:hAnsi="Times New Roman" w:cs="Times New Roman"/>
        </w:rPr>
        <w:t xml:space="preserve">he </w:t>
      </w:r>
      <w:r w:rsidR="00AC6844" w:rsidRPr="004D6CAB">
        <w:rPr>
          <w:rFonts w:ascii="Times New Roman" w:hAnsi="Times New Roman" w:cs="Times New Roman"/>
        </w:rPr>
        <w:t>EC</w:t>
      </w:r>
      <w:r w:rsidR="003F57E9" w:rsidRPr="004D6CAB">
        <w:rPr>
          <w:rFonts w:ascii="Times New Roman" w:hAnsi="Times New Roman" w:cs="Times New Roman"/>
        </w:rPr>
        <w:t xml:space="preserve"> </w:t>
      </w:r>
      <w:r w:rsidR="00AC6844" w:rsidRPr="004D6CAB">
        <w:rPr>
          <w:rFonts w:ascii="Times New Roman" w:hAnsi="Times New Roman" w:cs="Times New Roman"/>
        </w:rPr>
        <w:t xml:space="preserve">(2010) </w:t>
      </w:r>
      <w:r w:rsidR="005B644D" w:rsidRPr="004D6CAB">
        <w:rPr>
          <w:rFonts w:ascii="Times New Roman" w:hAnsi="Times New Roman" w:cs="Times New Roman"/>
        </w:rPr>
        <w:t xml:space="preserve">Green Paper </w:t>
      </w:r>
      <w:r w:rsidR="00AC6844" w:rsidRPr="004D6CAB">
        <w:rPr>
          <w:rFonts w:ascii="Times New Roman" w:hAnsi="Times New Roman" w:cs="Times New Roman"/>
        </w:rPr>
        <w:t xml:space="preserve">and </w:t>
      </w:r>
      <w:r w:rsidR="005B644D" w:rsidRPr="004D6CAB">
        <w:rPr>
          <w:rFonts w:ascii="Times New Roman" w:hAnsi="Times New Roman" w:cs="Times New Roman"/>
        </w:rPr>
        <w:t xml:space="preserve">the </w:t>
      </w:r>
      <w:r w:rsidR="00AC6844" w:rsidRPr="004D6CAB">
        <w:rPr>
          <w:rFonts w:ascii="Times New Roman" w:hAnsi="Times New Roman" w:cs="Times New Roman"/>
        </w:rPr>
        <w:t>EC</w:t>
      </w:r>
      <w:r w:rsidR="005B644D" w:rsidRPr="004D6CAB">
        <w:rPr>
          <w:rFonts w:ascii="Times New Roman" w:hAnsi="Times New Roman" w:cs="Times New Roman"/>
        </w:rPr>
        <w:t xml:space="preserve"> </w:t>
      </w:r>
      <w:r w:rsidR="00AC6844" w:rsidRPr="004D6CAB">
        <w:rPr>
          <w:rFonts w:ascii="Times New Roman" w:hAnsi="Times New Roman" w:cs="Times New Roman"/>
        </w:rPr>
        <w:t>(2011</w:t>
      </w:r>
      <w:r w:rsidR="00580987" w:rsidRPr="004D6CAB">
        <w:rPr>
          <w:rFonts w:ascii="Times New Roman" w:hAnsi="Times New Roman" w:cs="Times New Roman"/>
        </w:rPr>
        <w:t>)</w:t>
      </w:r>
      <w:r w:rsidR="005B644D" w:rsidRPr="004D6CAB">
        <w:rPr>
          <w:rFonts w:ascii="Times New Roman" w:hAnsi="Times New Roman" w:cs="Times New Roman"/>
        </w:rPr>
        <w:t xml:space="preserve"> Ageing Report draw very </w:t>
      </w:r>
      <w:proofErr w:type="spellStart"/>
      <w:r w:rsidR="005B644D" w:rsidRPr="004D6CAB">
        <w:rPr>
          <w:rFonts w:ascii="Times New Roman" w:hAnsi="Times New Roman" w:cs="Times New Roman"/>
        </w:rPr>
        <w:t>somber</w:t>
      </w:r>
      <w:proofErr w:type="spellEnd"/>
      <w:r w:rsidR="005B644D" w:rsidRPr="004D6CAB">
        <w:rPr>
          <w:rFonts w:ascii="Times New Roman" w:hAnsi="Times New Roman" w:cs="Times New Roman"/>
        </w:rPr>
        <w:t xml:space="preserve"> </w:t>
      </w:r>
      <w:r w:rsidR="00AC6844" w:rsidRPr="004D6CAB">
        <w:rPr>
          <w:rFonts w:ascii="Times New Roman" w:hAnsi="Times New Roman" w:cs="Times New Roman"/>
        </w:rPr>
        <w:t xml:space="preserve">demographic perspectives </w:t>
      </w:r>
      <w:r w:rsidR="005B644D" w:rsidRPr="004D6CAB">
        <w:rPr>
          <w:rFonts w:ascii="Times New Roman" w:hAnsi="Times New Roman" w:cs="Times New Roman"/>
        </w:rPr>
        <w:t xml:space="preserve">for </w:t>
      </w:r>
      <w:r w:rsidR="0025321D" w:rsidRPr="004D6CAB">
        <w:rPr>
          <w:rFonts w:ascii="Times New Roman" w:hAnsi="Times New Roman" w:cs="Times New Roman"/>
        </w:rPr>
        <w:t>Europe</w:t>
      </w:r>
      <w:r w:rsidR="0094460F" w:rsidRPr="004D6CAB">
        <w:rPr>
          <w:rFonts w:ascii="Times New Roman" w:hAnsi="Times New Roman" w:cs="Times New Roman"/>
        </w:rPr>
        <w:t>, where the a</w:t>
      </w:r>
      <w:r w:rsidR="008E6C0F" w:rsidRPr="004D6CAB">
        <w:rPr>
          <w:rFonts w:ascii="Times New Roman" w:hAnsi="Times New Roman" w:cs="Times New Roman"/>
        </w:rPr>
        <w:t xml:space="preserve">geing is accompanied by </w:t>
      </w:r>
      <w:r w:rsidR="0094460F" w:rsidRPr="004D6CAB">
        <w:rPr>
          <w:rFonts w:ascii="Times New Roman" w:hAnsi="Times New Roman" w:cs="Times New Roman"/>
        </w:rPr>
        <w:t xml:space="preserve">low </w:t>
      </w:r>
      <w:r w:rsidR="008E6C0F" w:rsidRPr="004D6CAB">
        <w:rPr>
          <w:rFonts w:ascii="Times New Roman" w:hAnsi="Times New Roman" w:cs="Times New Roman"/>
        </w:rPr>
        <w:t>fertility rates</w:t>
      </w:r>
      <w:r w:rsidR="0094460F" w:rsidRPr="004D6CAB">
        <w:rPr>
          <w:rFonts w:ascii="Times New Roman" w:hAnsi="Times New Roman" w:cs="Times New Roman"/>
        </w:rPr>
        <w:t xml:space="preserve"> (Cremer et al, 2009). At global level, </w:t>
      </w:r>
      <w:r w:rsidR="00BA70AE" w:rsidRPr="004D6CAB">
        <w:rPr>
          <w:rFonts w:ascii="Times New Roman" w:hAnsi="Times New Roman" w:cs="Times New Roman"/>
        </w:rPr>
        <w:t>the World Bank identifies similar tendencies for the future (</w:t>
      </w:r>
      <w:proofErr w:type="spellStart"/>
      <w:r w:rsidR="00BA70AE" w:rsidRPr="004D6CAB">
        <w:rPr>
          <w:rFonts w:ascii="Times New Roman" w:hAnsi="Times New Roman" w:cs="Times New Roman"/>
        </w:rPr>
        <w:t>Holzmann</w:t>
      </w:r>
      <w:proofErr w:type="spellEnd"/>
      <w:r w:rsidR="00BA70AE" w:rsidRPr="004D6CAB">
        <w:rPr>
          <w:rFonts w:ascii="Times New Roman" w:hAnsi="Times New Roman" w:cs="Times New Roman"/>
        </w:rPr>
        <w:t xml:space="preserve"> </w:t>
      </w:r>
      <w:proofErr w:type="gramStart"/>
      <w:r w:rsidR="00BA70AE" w:rsidRPr="004D6CAB">
        <w:rPr>
          <w:rFonts w:ascii="Times New Roman" w:hAnsi="Times New Roman" w:cs="Times New Roman"/>
        </w:rPr>
        <w:t>et</w:t>
      </w:r>
      <w:proofErr w:type="gramEnd"/>
      <w:r w:rsidR="00BA70AE" w:rsidRPr="004D6CAB">
        <w:rPr>
          <w:rFonts w:ascii="Times New Roman" w:hAnsi="Times New Roman" w:cs="Times New Roman"/>
        </w:rPr>
        <w:t xml:space="preserve"> all, 2009</w:t>
      </w:r>
      <w:r w:rsidR="00FD2450" w:rsidRPr="004D6CAB">
        <w:rPr>
          <w:rFonts w:ascii="Times New Roman" w:hAnsi="Times New Roman" w:cs="Times New Roman"/>
        </w:rPr>
        <w:t>a</w:t>
      </w:r>
      <w:r w:rsidR="00BA70AE" w:rsidRPr="004D6CAB">
        <w:rPr>
          <w:rFonts w:ascii="Times New Roman" w:hAnsi="Times New Roman" w:cs="Times New Roman"/>
        </w:rPr>
        <w:t xml:space="preserve">). </w:t>
      </w:r>
    </w:p>
    <w:p w:rsidR="00C72AB2" w:rsidRPr="004D6CAB" w:rsidRDefault="007536D4" w:rsidP="008936BD">
      <w:pPr>
        <w:pStyle w:val="Notedebasdepage"/>
        <w:tabs>
          <w:tab w:val="clear" w:pos="284"/>
          <w:tab w:val="left" w:pos="0"/>
        </w:tabs>
        <w:spacing w:line="276" w:lineRule="auto"/>
        <w:ind w:left="0" w:firstLine="0"/>
        <w:rPr>
          <w:lang w:val="en-US"/>
        </w:rPr>
      </w:pPr>
      <w:r w:rsidRPr="004D6CAB">
        <w:rPr>
          <w:rFonts w:cs="Times New Roman"/>
        </w:rPr>
        <w:t xml:space="preserve">Demographic challenges are equally present in </w:t>
      </w:r>
      <w:r w:rsidRPr="004D6CAB">
        <w:rPr>
          <w:rFonts w:cs="Times New Roman"/>
          <w:lang w:val="en-US"/>
        </w:rPr>
        <w:t>Romania, where the</w:t>
      </w:r>
      <w:r w:rsidR="002F14B8" w:rsidRPr="004D6CAB">
        <w:rPr>
          <w:rFonts w:cs="Times New Roman"/>
          <w:lang w:val="en-US"/>
        </w:rPr>
        <w:t xml:space="preserve"> population </w:t>
      </w:r>
      <w:r w:rsidRPr="004D6CAB">
        <w:rPr>
          <w:rFonts w:cs="Times New Roman"/>
          <w:lang w:val="en-US"/>
        </w:rPr>
        <w:t xml:space="preserve">decline </w:t>
      </w:r>
      <w:r w:rsidR="002F14B8" w:rsidRPr="004D6CAB">
        <w:rPr>
          <w:rFonts w:cs="Times New Roman"/>
          <w:lang w:val="en-US"/>
        </w:rPr>
        <w:t>is expected to accelerate</w:t>
      </w:r>
      <w:r w:rsidRPr="004D6CAB">
        <w:rPr>
          <w:rFonts w:cs="Times New Roman"/>
          <w:lang w:val="en-US"/>
        </w:rPr>
        <w:t xml:space="preserve">. The number of inhabitants will decrease </w:t>
      </w:r>
      <w:r w:rsidR="002F14B8" w:rsidRPr="004D6CAB">
        <w:rPr>
          <w:rFonts w:cs="Times New Roman"/>
          <w:lang w:val="en-US"/>
        </w:rPr>
        <w:t>from 21.4 million in 2008 to 16-17 million in 2050 (APAPR, 2012)</w:t>
      </w:r>
      <w:r w:rsidR="00C72AB2" w:rsidRPr="004D6CAB">
        <w:rPr>
          <w:rFonts w:cs="Times New Roman"/>
          <w:lang w:val="en-US"/>
        </w:rPr>
        <w:t xml:space="preserve">, which </w:t>
      </w:r>
      <w:r w:rsidR="002F14B8" w:rsidRPr="004D6CAB">
        <w:rPr>
          <w:rFonts w:cs="Times New Roman"/>
          <w:lang w:val="en-US"/>
        </w:rPr>
        <w:t xml:space="preserve">is equivalent to a reduction by almost 25% as compared to the 1990 level. </w:t>
      </w:r>
      <w:r w:rsidR="00C72AB2" w:rsidRPr="004D6CAB">
        <w:rPr>
          <w:rFonts w:cs="Times New Roman"/>
          <w:lang w:val="en-US"/>
        </w:rPr>
        <w:t xml:space="preserve">At the same time, </w:t>
      </w:r>
      <w:r w:rsidR="002F14B8" w:rsidRPr="004D6CAB">
        <w:rPr>
          <w:rFonts w:cs="Times New Roman"/>
          <w:lang w:val="en-US"/>
        </w:rPr>
        <w:t>the increase of life expectancy</w:t>
      </w:r>
      <w:r w:rsidR="00C72AB2" w:rsidRPr="004D6CAB">
        <w:rPr>
          <w:rFonts w:cs="Times New Roman"/>
          <w:lang w:val="en-US"/>
        </w:rPr>
        <w:t xml:space="preserve"> will </w:t>
      </w:r>
      <w:r w:rsidR="002F14B8" w:rsidRPr="004D6CAB">
        <w:rPr>
          <w:rFonts w:cs="Times New Roman"/>
          <w:lang w:val="en-US"/>
        </w:rPr>
        <w:t>accentuate</w:t>
      </w:r>
      <w:r w:rsidR="00C72AB2" w:rsidRPr="004D6CAB">
        <w:rPr>
          <w:rFonts w:cs="Times New Roman"/>
          <w:lang w:val="en-US"/>
        </w:rPr>
        <w:t xml:space="preserve"> the</w:t>
      </w:r>
      <w:r w:rsidR="002F14B8" w:rsidRPr="004D6CAB">
        <w:rPr>
          <w:rFonts w:cs="Times New Roman"/>
          <w:lang w:val="en-US"/>
        </w:rPr>
        <w:t xml:space="preserve"> </w:t>
      </w:r>
      <w:r w:rsidR="00C72AB2" w:rsidRPr="004D6CAB">
        <w:rPr>
          <w:rFonts w:cs="Times New Roman"/>
          <w:lang w:val="en-US"/>
        </w:rPr>
        <w:t xml:space="preserve">ageing </w:t>
      </w:r>
      <w:r w:rsidR="002F14B8" w:rsidRPr="004D6CAB">
        <w:rPr>
          <w:rFonts w:cs="Times New Roman"/>
          <w:lang w:val="en-US"/>
        </w:rPr>
        <w:t xml:space="preserve">phenomenon </w:t>
      </w:r>
      <w:r w:rsidR="00C72AB2" w:rsidRPr="004D6CAB">
        <w:rPr>
          <w:rFonts w:cs="Times New Roman"/>
          <w:lang w:val="en-US"/>
        </w:rPr>
        <w:t>over</w:t>
      </w:r>
      <w:r w:rsidR="002F14B8" w:rsidRPr="004D6CAB">
        <w:rPr>
          <w:rFonts w:cs="Times New Roman"/>
          <w:lang w:val="en-US"/>
        </w:rPr>
        <w:t xml:space="preserve"> the next three decades</w:t>
      </w:r>
      <w:r w:rsidR="00C72AB2" w:rsidRPr="004D6CAB">
        <w:rPr>
          <w:rFonts w:cs="Times New Roman"/>
          <w:lang w:val="en-US"/>
        </w:rPr>
        <w:t>: a</w:t>
      </w:r>
      <w:r w:rsidR="00C72AB2" w:rsidRPr="004D6CAB">
        <w:rPr>
          <w:lang w:val="en-US"/>
        </w:rPr>
        <w:t>ccording to Fernandez-</w:t>
      </w:r>
      <w:proofErr w:type="spellStart"/>
      <w:r w:rsidR="00C72AB2" w:rsidRPr="004D6CAB">
        <w:rPr>
          <w:lang w:val="en-US"/>
        </w:rPr>
        <w:t>Ansola</w:t>
      </w:r>
      <w:proofErr w:type="spellEnd"/>
      <w:r w:rsidR="00C72AB2" w:rsidRPr="004D6CAB">
        <w:rPr>
          <w:lang w:val="en-US"/>
        </w:rPr>
        <w:t xml:space="preserve"> and </w:t>
      </w:r>
      <w:proofErr w:type="spellStart"/>
      <w:r w:rsidR="00C72AB2" w:rsidRPr="004D6CAB">
        <w:rPr>
          <w:lang w:val="en-US"/>
        </w:rPr>
        <w:t>Klemm</w:t>
      </w:r>
      <w:proofErr w:type="spellEnd"/>
      <w:r w:rsidR="00C72AB2" w:rsidRPr="004D6CAB">
        <w:rPr>
          <w:lang w:val="en-US"/>
        </w:rPr>
        <w:t xml:space="preserve"> (2007) in 2050 one out of three Romanians will be aged above 65 years</w:t>
      </w:r>
      <w:r w:rsidR="000D672A" w:rsidRPr="004D6CAB">
        <w:rPr>
          <w:lang w:val="en-US"/>
        </w:rPr>
        <w:t xml:space="preserve">, as compared to </w:t>
      </w:r>
      <w:r w:rsidR="00C72AB2" w:rsidRPr="004D6CAB">
        <w:rPr>
          <w:lang w:val="en-US"/>
        </w:rPr>
        <w:t>14% in 2000.</w:t>
      </w:r>
    </w:p>
    <w:p w:rsidR="00CA2040" w:rsidRPr="004D6CAB" w:rsidRDefault="001D4ED0" w:rsidP="008936BD">
      <w:pPr>
        <w:spacing w:after="0"/>
        <w:jc w:val="both"/>
        <w:rPr>
          <w:rFonts w:ascii="Times New Roman" w:hAnsi="Times New Roman" w:cs="Times New Roman"/>
        </w:rPr>
      </w:pPr>
      <w:r w:rsidRPr="004D6CAB">
        <w:rPr>
          <w:rFonts w:ascii="Times New Roman" w:hAnsi="Times New Roman" w:cs="Times New Roman"/>
        </w:rPr>
        <w:lastRenderedPageBreak/>
        <w:t>Th</w:t>
      </w:r>
      <w:r w:rsidR="000D672A" w:rsidRPr="004D6CAB">
        <w:rPr>
          <w:rFonts w:ascii="Times New Roman" w:hAnsi="Times New Roman" w:cs="Times New Roman"/>
        </w:rPr>
        <w:t xml:space="preserve">e demographic perspectives </w:t>
      </w:r>
      <w:r w:rsidRPr="004D6CAB">
        <w:rPr>
          <w:rFonts w:ascii="Times New Roman" w:hAnsi="Times New Roman" w:cs="Times New Roman"/>
        </w:rPr>
        <w:t>call for major reforms of the existing systems</w:t>
      </w:r>
      <w:r w:rsidR="000D672A" w:rsidRPr="004D6CAB">
        <w:rPr>
          <w:rFonts w:ascii="Times New Roman" w:hAnsi="Times New Roman" w:cs="Times New Roman"/>
        </w:rPr>
        <w:t xml:space="preserve"> in a large number of countries</w:t>
      </w:r>
      <w:r w:rsidRPr="004D6CAB">
        <w:rPr>
          <w:rFonts w:ascii="Times New Roman" w:hAnsi="Times New Roman" w:cs="Times New Roman"/>
        </w:rPr>
        <w:t xml:space="preserve">; without </w:t>
      </w:r>
      <w:r w:rsidR="000D672A" w:rsidRPr="004D6CAB">
        <w:rPr>
          <w:rFonts w:ascii="Times New Roman" w:hAnsi="Times New Roman" w:cs="Times New Roman"/>
        </w:rPr>
        <w:t xml:space="preserve">such </w:t>
      </w:r>
      <w:r w:rsidRPr="004D6CAB">
        <w:rPr>
          <w:rFonts w:ascii="Times New Roman" w:hAnsi="Times New Roman" w:cs="Times New Roman"/>
        </w:rPr>
        <w:t>reform</w:t>
      </w:r>
      <w:r w:rsidR="000D672A" w:rsidRPr="004D6CAB">
        <w:rPr>
          <w:rFonts w:ascii="Times New Roman" w:hAnsi="Times New Roman" w:cs="Times New Roman"/>
        </w:rPr>
        <w:t>s</w:t>
      </w:r>
      <w:r w:rsidRPr="004D6CAB">
        <w:rPr>
          <w:rFonts w:ascii="Times New Roman" w:hAnsi="Times New Roman" w:cs="Times New Roman"/>
        </w:rPr>
        <w:t>, the pension schemes will face increasing and unsustainable spending paths over the next four decades (IMF</w:t>
      </w:r>
      <w:r w:rsidR="00CF4E27" w:rsidRPr="004D6CAB">
        <w:rPr>
          <w:rFonts w:ascii="Times New Roman" w:hAnsi="Times New Roman" w:cs="Times New Roman"/>
        </w:rPr>
        <w:t xml:space="preserve">, 2011), which will </w:t>
      </w:r>
      <w:r w:rsidR="008936BD" w:rsidRPr="004D6CAB">
        <w:rPr>
          <w:rFonts w:ascii="Times New Roman" w:hAnsi="Times New Roman" w:cs="Times New Roman"/>
        </w:rPr>
        <w:t xml:space="preserve">induce </w:t>
      </w:r>
      <w:r w:rsidR="00CF4E27" w:rsidRPr="004D6CAB">
        <w:rPr>
          <w:rFonts w:ascii="Times New Roman" w:hAnsi="Times New Roman" w:cs="Times New Roman"/>
        </w:rPr>
        <w:t xml:space="preserve">either a drastic reduction of benefits or </w:t>
      </w:r>
      <w:r w:rsidR="00892E0E">
        <w:rPr>
          <w:rFonts w:ascii="Times New Roman" w:hAnsi="Times New Roman" w:cs="Times New Roman"/>
        </w:rPr>
        <w:t xml:space="preserve">an </w:t>
      </w:r>
      <w:r w:rsidR="00CF4E27" w:rsidRPr="004D6CAB">
        <w:rPr>
          <w:rFonts w:ascii="Times New Roman" w:hAnsi="Times New Roman" w:cs="Times New Roman"/>
        </w:rPr>
        <w:t>increas</w:t>
      </w:r>
      <w:r w:rsidR="00892E0E">
        <w:rPr>
          <w:rFonts w:ascii="Times New Roman" w:hAnsi="Times New Roman" w:cs="Times New Roman"/>
        </w:rPr>
        <w:t xml:space="preserve">e of the </w:t>
      </w:r>
      <w:r w:rsidR="00CF4E27" w:rsidRPr="004D6CAB">
        <w:rPr>
          <w:rFonts w:ascii="Times New Roman" w:hAnsi="Times New Roman" w:cs="Times New Roman"/>
        </w:rPr>
        <w:t xml:space="preserve">tax burden in the economy (Ponds and </w:t>
      </w:r>
      <w:proofErr w:type="spellStart"/>
      <w:r w:rsidR="00CF4E27" w:rsidRPr="004D6CAB">
        <w:rPr>
          <w:rFonts w:ascii="Times New Roman" w:hAnsi="Times New Roman" w:cs="Times New Roman"/>
        </w:rPr>
        <w:t>Yermo</w:t>
      </w:r>
      <w:proofErr w:type="spellEnd"/>
      <w:r w:rsidR="00CF4E27" w:rsidRPr="004D6CAB">
        <w:rPr>
          <w:rFonts w:ascii="Times New Roman" w:hAnsi="Times New Roman" w:cs="Times New Roman"/>
        </w:rPr>
        <w:t xml:space="preserve">, 2011). </w:t>
      </w:r>
      <w:r w:rsidR="00F82DCF" w:rsidRPr="004D6CAB">
        <w:rPr>
          <w:rFonts w:ascii="Times New Roman" w:hAnsi="Times New Roman" w:cs="Times New Roman"/>
        </w:rPr>
        <w:t xml:space="preserve">In addition, the 2008 economic crisis </w:t>
      </w:r>
      <w:r w:rsidR="004C14AF" w:rsidRPr="004D6CAB">
        <w:rPr>
          <w:rFonts w:ascii="Times New Roman" w:hAnsi="Times New Roman" w:cs="Times New Roman"/>
        </w:rPr>
        <w:t xml:space="preserve">has </w:t>
      </w:r>
      <w:r w:rsidR="00F82DCF" w:rsidRPr="004D6CAB">
        <w:rPr>
          <w:rFonts w:ascii="Times New Roman" w:hAnsi="Times New Roman" w:cs="Times New Roman"/>
        </w:rPr>
        <w:t>exacerbated the sustainability risks of the pension systems (</w:t>
      </w:r>
      <w:proofErr w:type="spellStart"/>
      <w:r w:rsidR="00F82DCF" w:rsidRPr="004D6CAB">
        <w:rPr>
          <w:rFonts w:ascii="Times New Roman" w:hAnsi="Times New Roman" w:cs="Times New Roman"/>
        </w:rPr>
        <w:t>Ramaswamy</w:t>
      </w:r>
      <w:proofErr w:type="spellEnd"/>
      <w:r w:rsidR="00F82DCF" w:rsidRPr="004D6CAB">
        <w:rPr>
          <w:rFonts w:ascii="Times New Roman" w:hAnsi="Times New Roman" w:cs="Times New Roman"/>
        </w:rPr>
        <w:t>, 2012)</w:t>
      </w:r>
      <w:r w:rsidR="004C14AF" w:rsidRPr="004D6CAB">
        <w:rPr>
          <w:rFonts w:ascii="Times New Roman" w:hAnsi="Times New Roman" w:cs="Times New Roman"/>
        </w:rPr>
        <w:t xml:space="preserve">. Although important reforms have been initiated in many countries (increase of retirement age, introduction of privately funded schemes, </w:t>
      </w:r>
      <w:r w:rsidR="0077182C" w:rsidRPr="004D6CAB">
        <w:rPr>
          <w:rFonts w:ascii="Times New Roman" w:hAnsi="Times New Roman" w:cs="Times New Roman"/>
        </w:rPr>
        <w:t>increase of contribution rates, and even the reduction of pension benefits), with net positive results (</w:t>
      </w:r>
      <w:proofErr w:type="spellStart"/>
      <w:r w:rsidR="0077182C" w:rsidRPr="004D6CAB">
        <w:rPr>
          <w:rFonts w:ascii="Times New Roman" w:hAnsi="Times New Roman" w:cs="Times New Roman"/>
        </w:rPr>
        <w:t>Karam</w:t>
      </w:r>
      <w:proofErr w:type="spellEnd"/>
      <w:r w:rsidR="0077182C" w:rsidRPr="004D6CAB">
        <w:rPr>
          <w:rFonts w:ascii="Times New Roman" w:hAnsi="Times New Roman" w:cs="Times New Roman"/>
        </w:rPr>
        <w:t xml:space="preserve"> et al, 2010) further reforms are necessary to ensure long run fiscal sustainability (</w:t>
      </w:r>
      <w:proofErr w:type="spellStart"/>
      <w:r w:rsidR="0077182C" w:rsidRPr="004D6CAB">
        <w:rPr>
          <w:rFonts w:ascii="Times New Roman" w:hAnsi="Times New Roman" w:cs="Times New Roman"/>
        </w:rPr>
        <w:t>Zaidi</w:t>
      </w:r>
      <w:proofErr w:type="spellEnd"/>
      <w:r w:rsidR="0077182C" w:rsidRPr="004D6CAB">
        <w:rPr>
          <w:rFonts w:ascii="Times New Roman" w:hAnsi="Times New Roman" w:cs="Times New Roman"/>
        </w:rPr>
        <w:t xml:space="preserve"> and </w:t>
      </w:r>
      <w:proofErr w:type="spellStart"/>
      <w:r w:rsidR="0077182C" w:rsidRPr="004D6CAB">
        <w:rPr>
          <w:rFonts w:ascii="Times New Roman" w:hAnsi="Times New Roman" w:cs="Times New Roman"/>
        </w:rPr>
        <w:t>Rejniak</w:t>
      </w:r>
      <w:proofErr w:type="spellEnd"/>
      <w:r w:rsidR="0077182C" w:rsidRPr="004D6CAB">
        <w:rPr>
          <w:rFonts w:ascii="Times New Roman" w:hAnsi="Times New Roman" w:cs="Times New Roman"/>
        </w:rPr>
        <w:t>, 2010).</w:t>
      </w:r>
    </w:p>
    <w:p w:rsidR="002F14B8" w:rsidRPr="004D6CAB" w:rsidRDefault="008936BD" w:rsidP="008936BD">
      <w:pPr>
        <w:pStyle w:val="Flietext"/>
        <w:spacing w:before="0" w:line="276" w:lineRule="auto"/>
        <w:rPr>
          <w:rFonts w:cs="Times New Roman"/>
          <w:lang w:val="en-US"/>
        </w:rPr>
      </w:pPr>
      <w:r w:rsidRPr="004D6CAB">
        <w:rPr>
          <w:rFonts w:cs="Times New Roman"/>
          <w:lang w:val="en-US"/>
        </w:rPr>
        <w:t xml:space="preserve">In case of Romania, the sustainability of the pension system is already menaced. </w:t>
      </w:r>
      <w:r w:rsidR="002F14B8" w:rsidRPr="004D6CAB">
        <w:rPr>
          <w:rFonts w:cs="Times New Roman"/>
          <w:lang w:val="en-US"/>
        </w:rPr>
        <w:t xml:space="preserve">The deficit accumulated by the public system </w:t>
      </w:r>
      <w:r w:rsidRPr="004D6CAB">
        <w:rPr>
          <w:rFonts w:cs="Times New Roman"/>
          <w:lang w:val="en-US"/>
        </w:rPr>
        <w:t xml:space="preserve">represented </w:t>
      </w:r>
      <w:r w:rsidR="002F14B8" w:rsidRPr="004D6CAB">
        <w:rPr>
          <w:rFonts w:cs="Times New Roman"/>
          <w:lang w:val="en-US"/>
        </w:rPr>
        <w:t xml:space="preserve">about 50% of the collected contributions </w:t>
      </w:r>
      <w:r w:rsidR="001272DF" w:rsidRPr="004D6CAB">
        <w:rPr>
          <w:rFonts w:cs="Times New Roman"/>
          <w:lang w:val="en-US"/>
        </w:rPr>
        <w:t xml:space="preserve">in 2010 </w:t>
      </w:r>
      <w:r w:rsidR="002F14B8" w:rsidRPr="004D6CAB">
        <w:rPr>
          <w:rFonts w:cs="Times New Roman"/>
          <w:lang w:val="en-US"/>
        </w:rPr>
        <w:t>(</w:t>
      </w:r>
      <w:r w:rsidR="001272DF" w:rsidRPr="004D6CAB">
        <w:rPr>
          <w:rFonts w:cs="Times New Roman"/>
          <w:lang w:val="en-US"/>
        </w:rPr>
        <w:t>Zaman</w:t>
      </w:r>
      <w:r w:rsidR="002F14B8" w:rsidRPr="004D6CAB">
        <w:rPr>
          <w:rFonts w:cs="Times New Roman"/>
          <w:lang w:val="en-US"/>
        </w:rPr>
        <w:t>, 201</w:t>
      </w:r>
      <w:r w:rsidR="001272DF" w:rsidRPr="004D6CAB">
        <w:rPr>
          <w:rFonts w:cs="Times New Roman"/>
          <w:lang w:val="en-US"/>
        </w:rPr>
        <w:t>2</w:t>
      </w:r>
      <w:r w:rsidR="002F14B8" w:rsidRPr="004D6CAB">
        <w:rPr>
          <w:rFonts w:cs="Times New Roman"/>
          <w:lang w:val="en-US"/>
        </w:rPr>
        <w:t>). Although each additional year of increase in retirement age reduces the deficit by 0.7% of GDP (Fernandez-</w:t>
      </w:r>
      <w:proofErr w:type="spellStart"/>
      <w:r w:rsidR="002F14B8" w:rsidRPr="004D6CAB">
        <w:rPr>
          <w:rFonts w:cs="Times New Roman"/>
          <w:lang w:val="en-US"/>
        </w:rPr>
        <w:t>Ansola</w:t>
      </w:r>
      <w:proofErr w:type="spellEnd"/>
      <w:r w:rsidR="002F14B8" w:rsidRPr="004D6CAB">
        <w:rPr>
          <w:rFonts w:cs="Times New Roman"/>
          <w:lang w:val="en-US"/>
        </w:rPr>
        <w:t xml:space="preserve"> and </w:t>
      </w:r>
      <w:proofErr w:type="spellStart"/>
      <w:r w:rsidR="002F14B8" w:rsidRPr="004D6CAB">
        <w:rPr>
          <w:rFonts w:cs="Times New Roman"/>
          <w:lang w:val="en-US"/>
        </w:rPr>
        <w:t>Klemm</w:t>
      </w:r>
      <w:proofErr w:type="spellEnd"/>
      <w:r w:rsidR="002F14B8" w:rsidRPr="004D6CAB">
        <w:rPr>
          <w:rFonts w:cs="Times New Roman"/>
          <w:lang w:val="en-US"/>
        </w:rPr>
        <w:t xml:space="preserve">, 2007), the public pillar </w:t>
      </w:r>
      <w:r w:rsidR="00C66470" w:rsidRPr="004D6CAB">
        <w:rPr>
          <w:rFonts w:cs="Times New Roman"/>
          <w:lang w:val="en-US"/>
        </w:rPr>
        <w:t>will</w:t>
      </w:r>
      <w:r w:rsidR="002F14B8" w:rsidRPr="004D6CAB">
        <w:rPr>
          <w:rFonts w:cs="Times New Roman"/>
          <w:lang w:val="en-US"/>
        </w:rPr>
        <w:t xml:space="preserve"> continue generating deficits that are</w:t>
      </w:r>
      <w:r w:rsidR="002F14B8" w:rsidRPr="004D6CAB">
        <w:rPr>
          <w:rFonts w:cs="Times New Roman"/>
          <w:b/>
          <w:i/>
          <w:lang w:val="en-US"/>
        </w:rPr>
        <w:t xml:space="preserve"> </w:t>
      </w:r>
      <w:r w:rsidR="002F14B8" w:rsidRPr="004D6CAB">
        <w:rPr>
          <w:rFonts w:cs="Times New Roman"/>
          <w:lang w:val="en-US"/>
        </w:rPr>
        <w:t>expected to grow for the next three decades relative to GDP (</w:t>
      </w:r>
      <w:proofErr w:type="spellStart"/>
      <w:r w:rsidR="002F14B8" w:rsidRPr="004D6CAB">
        <w:rPr>
          <w:rFonts w:cs="Times New Roman"/>
          <w:lang w:val="en-US"/>
        </w:rPr>
        <w:t>Holzmann</w:t>
      </w:r>
      <w:proofErr w:type="spellEnd"/>
      <w:r w:rsidR="002F14B8" w:rsidRPr="004D6CAB">
        <w:rPr>
          <w:rFonts w:cs="Times New Roman"/>
          <w:lang w:val="en-US"/>
        </w:rPr>
        <w:t xml:space="preserve"> and </w:t>
      </w:r>
      <w:proofErr w:type="spellStart"/>
      <w:r w:rsidR="002F14B8" w:rsidRPr="004D6CAB">
        <w:rPr>
          <w:rFonts w:cs="Times New Roman"/>
          <w:lang w:val="en-US"/>
        </w:rPr>
        <w:t>Guven</w:t>
      </w:r>
      <w:proofErr w:type="spellEnd"/>
      <w:r w:rsidR="002F14B8" w:rsidRPr="004D6CAB">
        <w:rPr>
          <w:rFonts w:cs="Times New Roman"/>
          <w:lang w:val="en-US"/>
        </w:rPr>
        <w:t>, 2009). Revenues are expected to decline from 6.6% of GDP in 2008 to 3.4% by</w:t>
      </w:r>
      <w:r w:rsidR="002F14B8" w:rsidRPr="004D6CAB">
        <w:rPr>
          <w:rFonts w:cs="Times New Roman"/>
          <w:b/>
          <w:i/>
          <w:lang w:val="en-US"/>
        </w:rPr>
        <w:t xml:space="preserve"> </w:t>
      </w:r>
      <w:r w:rsidR="002F14B8" w:rsidRPr="004D6CAB">
        <w:rPr>
          <w:rFonts w:cs="Times New Roman"/>
          <w:lang w:val="en-US"/>
        </w:rPr>
        <w:t>2050, while expenditures to increase from 7.2% to 9.6% of GDP over the same period. The net result is thus a</w:t>
      </w:r>
      <w:r w:rsidR="002F14B8" w:rsidRPr="004D6CAB">
        <w:rPr>
          <w:rFonts w:cs="Times New Roman"/>
          <w:b/>
          <w:i/>
          <w:lang w:val="en-US"/>
        </w:rPr>
        <w:t xml:space="preserve"> </w:t>
      </w:r>
      <w:r w:rsidR="002F14B8" w:rsidRPr="004D6CAB">
        <w:rPr>
          <w:rFonts w:cs="Times New Roman"/>
          <w:lang w:val="en-US"/>
        </w:rPr>
        <w:t>projected deficit of 6.2% of GDP in 2050 (</w:t>
      </w:r>
      <w:proofErr w:type="spellStart"/>
      <w:r w:rsidR="002F14B8" w:rsidRPr="004D6CAB">
        <w:rPr>
          <w:rFonts w:cs="Times New Roman"/>
          <w:lang w:val="en-US"/>
        </w:rPr>
        <w:t>Holzmann</w:t>
      </w:r>
      <w:proofErr w:type="spellEnd"/>
      <w:r w:rsidR="002F14B8" w:rsidRPr="004D6CAB">
        <w:rPr>
          <w:rFonts w:cs="Times New Roman"/>
          <w:lang w:val="en-US"/>
        </w:rPr>
        <w:t xml:space="preserve"> and </w:t>
      </w:r>
      <w:proofErr w:type="spellStart"/>
      <w:r w:rsidR="002F14B8" w:rsidRPr="004D6CAB">
        <w:rPr>
          <w:rFonts w:cs="Times New Roman"/>
          <w:lang w:val="en-US"/>
        </w:rPr>
        <w:t>Guven</w:t>
      </w:r>
      <w:proofErr w:type="spellEnd"/>
      <w:r w:rsidR="002F14B8" w:rsidRPr="004D6CAB">
        <w:rPr>
          <w:rFonts w:cs="Times New Roman"/>
          <w:lang w:val="en-US"/>
        </w:rPr>
        <w:t>, 2009).</w:t>
      </w:r>
    </w:p>
    <w:p w:rsidR="006A4081" w:rsidRPr="004D6CAB" w:rsidRDefault="00607070" w:rsidP="008936BD">
      <w:pPr>
        <w:spacing w:after="0"/>
        <w:jc w:val="both"/>
        <w:rPr>
          <w:rFonts w:ascii="Times New Roman" w:hAnsi="Times New Roman" w:cs="Times New Roman"/>
        </w:rPr>
      </w:pPr>
      <w:r w:rsidRPr="004D6CAB">
        <w:rPr>
          <w:rFonts w:ascii="Times New Roman" w:hAnsi="Times New Roman" w:cs="Times New Roman"/>
        </w:rPr>
        <w:t xml:space="preserve">Ensuring the pensions sustainability should not affect their adequacy, as many opinions are in favour of maintaining a sufficiently high pension/wage ratio </w:t>
      </w:r>
      <w:r w:rsidR="009E140E" w:rsidRPr="004D6CAB">
        <w:rPr>
          <w:rFonts w:ascii="Times New Roman" w:hAnsi="Times New Roman" w:cs="Times New Roman"/>
        </w:rPr>
        <w:t xml:space="preserve">in order to provide the retired persons </w:t>
      </w:r>
      <w:r w:rsidR="00892E0E">
        <w:rPr>
          <w:rFonts w:ascii="Times New Roman" w:hAnsi="Times New Roman" w:cs="Times New Roman"/>
        </w:rPr>
        <w:t xml:space="preserve">with </w:t>
      </w:r>
      <w:r w:rsidR="009E140E" w:rsidRPr="004D6CAB">
        <w:rPr>
          <w:rFonts w:ascii="Times New Roman" w:hAnsi="Times New Roman" w:cs="Times New Roman"/>
        </w:rPr>
        <w:t>a decent income. The challenge of the pension systems to which most of the countries will be confronted in the future is therefore related to the trade-off between sustainability and adequacy</w:t>
      </w:r>
      <w:r w:rsidR="00E162BE" w:rsidRPr="004D6CAB">
        <w:rPr>
          <w:rFonts w:ascii="Times New Roman" w:hAnsi="Times New Roman" w:cs="Times New Roman"/>
        </w:rPr>
        <w:t xml:space="preserve"> (</w:t>
      </w:r>
      <w:proofErr w:type="spellStart"/>
      <w:r w:rsidR="00E162BE" w:rsidRPr="004D6CAB">
        <w:rPr>
          <w:rFonts w:ascii="Times New Roman" w:hAnsi="Times New Roman" w:cs="Times New Roman"/>
        </w:rPr>
        <w:t>Zaidi</w:t>
      </w:r>
      <w:proofErr w:type="spellEnd"/>
      <w:r w:rsidR="00E162BE" w:rsidRPr="004D6CAB">
        <w:rPr>
          <w:rFonts w:ascii="Times New Roman" w:hAnsi="Times New Roman" w:cs="Times New Roman"/>
        </w:rPr>
        <w:t xml:space="preserve">, 2010). The solution to this dilemma resides in the identification of new </w:t>
      </w:r>
      <w:r w:rsidR="005A6E3E" w:rsidRPr="004D6CAB">
        <w:rPr>
          <w:rFonts w:ascii="Times New Roman" w:hAnsi="Times New Roman" w:cs="Times New Roman"/>
        </w:rPr>
        <w:t>“</w:t>
      </w:r>
      <w:r w:rsidR="00E162BE" w:rsidRPr="004D6CAB">
        <w:rPr>
          <w:rFonts w:ascii="Times New Roman" w:hAnsi="Times New Roman" w:cs="Times New Roman"/>
        </w:rPr>
        <w:t xml:space="preserve">opportunities </w:t>
      </w:r>
      <w:r w:rsidR="005A6E3E" w:rsidRPr="004D6CAB">
        <w:rPr>
          <w:rFonts w:ascii="Times New Roman" w:hAnsi="Times New Roman" w:cs="Times New Roman"/>
        </w:rPr>
        <w:t>and collaborative strategies”, as underlined by Hayashi et al (2009). The private pension systems seem to represent the main solution in this respect</w:t>
      </w:r>
      <w:r w:rsidR="0020701C" w:rsidRPr="004D6CAB">
        <w:rPr>
          <w:rFonts w:ascii="Times New Roman" w:hAnsi="Times New Roman" w:cs="Times New Roman"/>
        </w:rPr>
        <w:t>, and the experience of Central and Eastern Europe with fully capitalised pension funds provides encouraging results (Allot et al, 2010).</w:t>
      </w:r>
      <w:r w:rsidR="00071675" w:rsidRPr="004D6CAB">
        <w:rPr>
          <w:rFonts w:ascii="Times New Roman" w:hAnsi="Times New Roman" w:cs="Times New Roman"/>
        </w:rPr>
        <w:t xml:space="preserve"> Apart from compulsory contributions to private pillars, the voluntary savings instruments are considered as a key instrument for </w:t>
      </w:r>
      <w:r w:rsidR="00FD2450" w:rsidRPr="004D6CAB">
        <w:rPr>
          <w:rFonts w:ascii="Times New Roman" w:hAnsi="Times New Roman" w:cs="Times New Roman"/>
        </w:rPr>
        <w:t>raising the revenues to the social insurance budget (</w:t>
      </w:r>
      <w:proofErr w:type="spellStart"/>
      <w:r w:rsidR="00FD2450" w:rsidRPr="004D6CAB">
        <w:rPr>
          <w:rFonts w:ascii="Times New Roman" w:hAnsi="Times New Roman" w:cs="Times New Roman"/>
        </w:rPr>
        <w:t>Holzman</w:t>
      </w:r>
      <w:proofErr w:type="spellEnd"/>
      <w:r w:rsidR="00FD2450" w:rsidRPr="004D6CAB">
        <w:rPr>
          <w:rFonts w:ascii="Times New Roman" w:hAnsi="Times New Roman" w:cs="Times New Roman"/>
        </w:rPr>
        <w:t xml:space="preserve"> et al, 2009b).</w:t>
      </w:r>
      <w:r w:rsidR="00C123D2" w:rsidRPr="004D6CAB">
        <w:rPr>
          <w:rFonts w:ascii="Times New Roman" w:hAnsi="Times New Roman" w:cs="Times New Roman"/>
        </w:rPr>
        <w:t xml:space="preserve"> </w:t>
      </w:r>
    </w:p>
    <w:p w:rsidR="00C123D2" w:rsidRPr="004D6CAB" w:rsidRDefault="00C123D2" w:rsidP="008936BD">
      <w:pPr>
        <w:spacing w:after="0"/>
        <w:jc w:val="both"/>
        <w:rPr>
          <w:rFonts w:ascii="Times New Roman" w:hAnsi="Times New Roman" w:cs="Times New Roman"/>
        </w:rPr>
      </w:pPr>
      <w:r w:rsidRPr="004D6CAB">
        <w:rPr>
          <w:rFonts w:ascii="Times New Roman" w:hAnsi="Times New Roman" w:cs="Times New Roman"/>
        </w:rPr>
        <w:t>In addition, another solution (</w:t>
      </w:r>
      <w:proofErr w:type="spellStart"/>
      <w:r w:rsidRPr="004D6CAB">
        <w:rPr>
          <w:rFonts w:ascii="Times New Roman" w:hAnsi="Times New Roman" w:cs="Times New Roman"/>
        </w:rPr>
        <w:t>Cigno</w:t>
      </w:r>
      <w:proofErr w:type="spellEnd"/>
      <w:r w:rsidRPr="004D6CAB">
        <w:rPr>
          <w:rFonts w:ascii="Times New Roman" w:hAnsi="Times New Roman" w:cs="Times New Roman"/>
        </w:rPr>
        <w:t xml:space="preserve">, 2010) to avoid a pension crisis would be an intelligent system design, by developing two main elements of the public pension system: a </w:t>
      </w:r>
      <w:r w:rsidR="00892E0E">
        <w:rPr>
          <w:rFonts w:ascii="Times New Roman" w:hAnsi="Times New Roman" w:cs="Times New Roman"/>
        </w:rPr>
        <w:t xml:space="preserve">classical </w:t>
      </w:r>
      <w:proofErr w:type="spellStart"/>
      <w:r w:rsidR="00892E0E">
        <w:rPr>
          <w:rFonts w:ascii="Times New Roman" w:hAnsi="Times New Roman" w:cs="Times New Roman"/>
        </w:rPr>
        <w:t>Bismarckian</w:t>
      </w:r>
      <w:proofErr w:type="spellEnd"/>
      <w:r w:rsidR="00892E0E">
        <w:rPr>
          <w:rFonts w:ascii="Times New Roman" w:hAnsi="Times New Roman" w:cs="Times New Roman"/>
        </w:rPr>
        <w:t xml:space="preserve"> scheme</w:t>
      </w:r>
      <w:r w:rsidRPr="004D6CAB">
        <w:rPr>
          <w:rFonts w:ascii="Times New Roman" w:hAnsi="Times New Roman" w:cs="Times New Roman"/>
        </w:rPr>
        <w:t xml:space="preserve"> in which the individuals receive pensions according to the</w:t>
      </w:r>
      <w:r w:rsidR="00BA3125">
        <w:rPr>
          <w:rFonts w:ascii="Times New Roman" w:hAnsi="Times New Roman" w:cs="Times New Roman"/>
        </w:rPr>
        <w:t xml:space="preserve">ir </w:t>
      </w:r>
      <w:r w:rsidRPr="004D6CAB">
        <w:rPr>
          <w:rFonts w:ascii="Times New Roman" w:hAnsi="Times New Roman" w:cs="Times New Roman"/>
        </w:rPr>
        <w:t xml:space="preserve">contributions during </w:t>
      </w:r>
      <w:r w:rsidR="00D036B9" w:rsidRPr="004D6CAB">
        <w:rPr>
          <w:rFonts w:ascii="Times New Roman" w:hAnsi="Times New Roman" w:cs="Times New Roman"/>
        </w:rPr>
        <w:t xml:space="preserve">the </w:t>
      </w:r>
      <w:r w:rsidRPr="004D6CAB">
        <w:rPr>
          <w:rFonts w:ascii="Times New Roman" w:hAnsi="Times New Roman" w:cs="Times New Roman"/>
        </w:rPr>
        <w:t>active life</w:t>
      </w:r>
      <w:r w:rsidR="00BA3125">
        <w:rPr>
          <w:rFonts w:ascii="Times New Roman" w:hAnsi="Times New Roman" w:cs="Times New Roman"/>
        </w:rPr>
        <w:t>,</w:t>
      </w:r>
      <w:r w:rsidRPr="004D6CAB">
        <w:rPr>
          <w:rFonts w:ascii="Times New Roman" w:hAnsi="Times New Roman" w:cs="Times New Roman"/>
        </w:rPr>
        <w:t xml:space="preserve"> and a second scheme that qualifies individuals to a pension by having children and </w:t>
      </w:r>
      <w:r w:rsidR="00BA3125">
        <w:rPr>
          <w:rFonts w:ascii="Times New Roman" w:hAnsi="Times New Roman" w:cs="Times New Roman"/>
        </w:rPr>
        <w:t>spending time at home to grow them up</w:t>
      </w:r>
      <w:r w:rsidRPr="004D6CAB">
        <w:rPr>
          <w:rFonts w:ascii="Times New Roman" w:hAnsi="Times New Roman" w:cs="Times New Roman"/>
        </w:rPr>
        <w:t xml:space="preserve">. </w:t>
      </w:r>
      <w:r w:rsidR="00BA3125">
        <w:rPr>
          <w:rFonts w:ascii="Times New Roman" w:hAnsi="Times New Roman" w:cs="Times New Roman"/>
        </w:rPr>
        <w:t>However, the</w:t>
      </w:r>
      <w:r w:rsidRPr="004D6CAB">
        <w:rPr>
          <w:rFonts w:ascii="Times New Roman" w:hAnsi="Times New Roman" w:cs="Times New Roman"/>
        </w:rPr>
        <w:t xml:space="preserve"> reality shows that there is a </w:t>
      </w:r>
      <w:r w:rsidR="00BA3125">
        <w:rPr>
          <w:rFonts w:ascii="Times New Roman" w:hAnsi="Times New Roman" w:cs="Times New Roman"/>
        </w:rPr>
        <w:t xml:space="preserve">conflict </w:t>
      </w:r>
      <w:r w:rsidRPr="004D6CAB">
        <w:rPr>
          <w:rFonts w:ascii="Times New Roman" w:hAnsi="Times New Roman" w:cs="Times New Roman"/>
        </w:rPr>
        <w:t xml:space="preserve">between </w:t>
      </w:r>
      <w:r w:rsidR="00BA3125">
        <w:rPr>
          <w:rFonts w:ascii="Times New Roman" w:hAnsi="Times New Roman" w:cs="Times New Roman"/>
        </w:rPr>
        <w:t xml:space="preserve">the </w:t>
      </w:r>
      <w:r w:rsidRPr="004D6CAB">
        <w:rPr>
          <w:rFonts w:ascii="Times New Roman" w:hAnsi="Times New Roman" w:cs="Times New Roman"/>
        </w:rPr>
        <w:t xml:space="preserve">economic rationale behind </w:t>
      </w:r>
      <w:r w:rsidR="00486DD8">
        <w:rPr>
          <w:rFonts w:ascii="Times New Roman" w:hAnsi="Times New Roman" w:cs="Times New Roman"/>
        </w:rPr>
        <w:t>such a scheme</w:t>
      </w:r>
      <w:r w:rsidRPr="004D6CAB">
        <w:rPr>
          <w:rFonts w:ascii="Times New Roman" w:hAnsi="Times New Roman" w:cs="Times New Roman"/>
        </w:rPr>
        <w:t xml:space="preserve"> and the simplicity required by the political process (</w:t>
      </w:r>
      <w:proofErr w:type="spellStart"/>
      <w:r w:rsidRPr="004D6CAB">
        <w:rPr>
          <w:rFonts w:ascii="Times New Roman" w:hAnsi="Times New Roman" w:cs="Times New Roman"/>
        </w:rPr>
        <w:t>Beetsma</w:t>
      </w:r>
      <w:proofErr w:type="spellEnd"/>
      <w:r w:rsidRPr="004D6CAB">
        <w:rPr>
          <w:rFonts w:ascii="Times New Roman" w:hAnsi="Times New Roman" w:cs="Times New Roman"/>
        </w:rPr>
        <w:t xml:space="preserve"> and </w:t>
      </w:r>
      <w:proofErr w:type="spellStart"/>
      <w:r w:rsidRPr="004D6CAB">
        <w:rPr>
          <w:rFonts w:ascii="Times New Roman" w:hAnsi="Times New Roman" w:cs="Times New Roman"/>
        </w:rPr>
        <w:t>Oksanem</w:t>
      </w:r>
      <w:proofErr w:type="spellEnd"/>
      <w:r w:rsidRPr="004D6CAB">
        <w:rPr>
          <w:rFonts w:ascii="Times New Roman" w:hAnsi="Times New Roman" w:cs="Times New Roman"/>
        </w:rPr>
        <w:t>, 2008).</w:t>
      </w:r>
    </w:p>
    <w:p w:rsidR="006A15CD" w:rsidRPr="004D6CAB" w:rsidRDefault="001475B3" w:rsidP="006A15CD">
      <w:pPr>
        <w:pStyle w:val="Flietext"/>
        <w:spacing w:before="0" w:line="276" w:lineRule="auto"/>
        <w:rPr>
          <w:rFonts w:cs="Times New Roman"/>
        </w:rPr>
      </w:pPr>
      <w:r w:rsidRPr="004D6CAB">
        <w:t xml:space="preserve">In terms of adequacy, the Romanian pension system </w:t>
      </w:r>
      <w:r w:rsidR="008D10DE" w:rsidRPr="004D6CAB">
        <w:t xml:space="preserve">records better </w:t>
      </w:r>
      <w:r w:rsidRPr="004D6CAB">
        <w:t xml:space="preserve">replacement ratio and relative income </w:t>
      </w:r>
      <w:r w:rsidR="008D10DE" w:rsidRPr="004D6CAB">
        <w:t>levels than</w:t>
      </w:r>
      <w:r w:rsidRPr="004D6CAB">
        <w:t xml:space="preserve"> the EU</w:t>
      </w:r>
      <w:r w:rsidR="008D10DE" w:rsidRPr="004D6CAB">
        <w:t xml:space="preserve"> average: </w:t>
      </w:r>
      <w:r w:rsidRPr="004D6CAB">
        <w:t xml:space="preserve">in 2010 the aggregate replacement ratio in Romania was 12 percentage points above the EU average, with men recording a significantly higher ratio than women (10 pp, as compared to only 4 pp in EU). The median relative income of persons aged +65 was 97 in Romania (88 in EU), with the same considerable gender gap (15 pp, versus 6 pp in EU). </w:t>
      </w:r>
      <w:r w:rsidR="00BF209F" w:rsidRPr="004D6CAB">
        <w:t xml:space="preserve">This means </w:t>
      </w:r>
      <w:r w:rsidRPr="004D6CAB">
        <w:t xml:space="preserve">that Romanian pensioners receive an average benefit that is almost equal to the average income of active people. At the same time, </w:t>
      </w:r>
      <w:r w:rsidRPr="004D6CAB">
        <w:lastRenderedPageBreak/>
        <w:t xml:space="preserve">when retiring, the pensioner’s benefit as a share of his/her previous wage is substantially superior to the same ratio of an EU pensioner. </w:t>
      </w:r>
      <w:r w:rsidRPr="004D6CAB">
        <w:rPr>
          <w:rFonts w:cs="Times New Roman"/>
          <w:lang w:val="en-US"/>
        </w:rPr>
        <w:t xml:space="preserve">Pensions for full-career workers in Romania can be </w:t>
      </w:r>
      <w:r w:rsidR="00BF209F" w:rsidRPr="004D6CAB">
        <w:rPr>
          <w:rFonts w:cs="Times New Roman"/>
          <w:lang w:val="en-US"/>
        </w:rPr>
        <w:t xml:space="preserve">therefore </w:t>
      </w:r>
      <w:r w:rsidRPr="004D6CAB">
        <w:rPr>
          <w:rFonts w:cs="Times New Roman"/>
          <w:lang w:val="en-US"/>
        </w:rPr>
        <w:t>considered</w:t>
      </w:r>
      <w:r w:rsidRPr="004D6CAB">
        <w:rPr>
          <w:rFonts w:cs="Times New Roman"/>
          <w:b/>
          <w:i/>
          <w:lang w:val="en-US"/>
        </w:rPr>
        <w:t xml:space="preserve"> </w:t>
      </w:r>
      <w:r w:rsidRPr="004D6CAB">
        <w:rPr>
          <w:rFonts w:cs="Times New Roman"/>
          <w:lang w:val="en-US"/>
        </w:rPr>
        <w:t>adequate,</w:t>
      </w:r>
      <w:r w:rsidRPr="004D6CAB">
        <w:rPr>
          <w:rFonts w:cs="Times New Roman"/>
          <w:b/>
          <w:i/>
          <w:lang w:val="en-US"/>
        </w:rPr>
        <w:t xml:space="preserve"> </w:t>
      </w:r>
      <w:r w:rsidRPr="004D6CAB">
        <w:rPr>
          <w:rFonts w:cs="Times New Roman"/>
          <w:lang w:val="en-US"/>
        </w:rPr>
        <w:t>with levels of income</w:t>
      </w:r>
      <w:r w:rsidRPr="004D6CAB">
        <w:rPr>
          <w:rFonts w:cs="Times New Roman"/>
          <w:b/>
          <w:i/>
          <w:lang w:val="en-US"/>
        </w:rPr>
        <w:t xml:space="preserve"> </w:t>
      </w:r>
      <w:r w:rsidRPr="004D6CAB">
        <w:rPr>
          <w:rFonts w:cs="Times New Roman"/>
          <w:lang w:val="en-US"/>
        </w:rPr>
        <w:t>replacement higher than regional</w:t>
      </w:r>
      <w:r w:rsidRPr="004D6CAB">
        <w:rPr>
          <w:rFonts w:cs="Times New Roman"/>
          <w:b/>
          <w:i/>
          <w:lang w:val="en-US"/>
        </w:rPr>
        <w:t xml:space="preserve"> </w:t>
      </w:r>
      <w:r w:rsidRPr="004D6CAB">
        <w:rPr>
          <w:rFonts w:cs="Times New Roman"/>
          <w:lang w:val="en-US"/>
        </w:rPr>
        <w:t>and world averages</w:t>
      </w:r>
      <w:r w:rsidRPr="004D6CAB">
        <w:rPr>
          <w:rFonts w:cs="Times New Roman"/>
          <w:b/>
          <w:i/>
          <w:lang w:val="en-US"/>
        </w:rPr>
        <w:t xml:space="preserve"> </w:t>
      </w:r>
      <w:r w:rsidRPr="004D6CAB">
        <w:rPr>
          <w:rFonts w:cs="Times New Roman"/>
          <w:lang w:val="en-US"/>
        </w:rPr>
        <w:t>(</w:t>
      </w:r>
      <w:proofErr w:type="spellStart"/>
      <w:r w:rsidRPr="004D6CAB">
        <w:rPr>
          <w:rFonts w:cs="Times New Roman"/>
          <w:lang w:val="en-US"/>
        </w:rPr>
        <w:t>Holzmann</w:t>
      </w:r>
      <w:proofErr w:type="spellEnd"/>
      <w:r w:rsidRPr="004D6CAB">
        <w:rPr>
          <w:rFonts w:cs="Times New Roman"/>
          <w:lang w:val="en-US"/>
        </w:rPr>
        <w:t xml:space="preserve"> and </w:t>
      </w:r>
      <w:proofErr w:type="spellStart"/>
      <w:r w:rsidRPr="004D6CAB">
        <w:rPr>
          <w:rFonts w:cs="Times New Roman"/>
          <w:lang w:val="en-US"/>
        </w:rPr>
        <w:t>Guven</w:t>
      </w:r>
      <w:proofErr w:type="spellEnd"/>
      <w:r w:rsidRPr="004D6CAB">
        <w:rPr>
          <w:rFonts w:cs="Times New Roman"/>
          <w:lang w:val="en-US"/>
        </w:rPr>
        <w:t>, 2009).</w:t>
      </w:r>
      <w:r w:rsidR="00BF209F" w:rsidRPr="004D6CAB">
        <w:rPr>
          <w:rFonts w:cs="Times New Roman"/>
          <w:lang w:val="en-US"/>
        </w:rPr>
        <w:t xml:space="preserve"> However, IMF (2011) expects </w:t>
      </w:r>
      <w:r w:rsidR="00C66470" w:rsidRPr="004D6CAB">
        <w:t>that t</w:t>
      </w:r>
      <w:r w:rsidR="00C66470" w:rsidRPr="004D6CAB">
        <w:rPr>
          <w:rFonts w:cs="Times New Roman"/>
          <w:lang w:val="en-US"/>
        </w:rPr>
        <w:t xml:space="preserve">he replacement rate will decline by about 15 percentage points over the period 2010 – 2050. </w:t>
      </w:r>
      <w:r w:rsidR="006D1B5D">
        <w:rPr>
          <w:rFonts w:cs="Times New Roman"/>
          <w:lang w:val="en-US"/>
        </w:rPr>
        <w:t xml:space="preserve">To some extent, the excellent adequacy ratio of Romanian benefits is the result of purposely increase of pensions by the successive governments, </w:t>
      </w:r>
      <w:r w:rsidR="006A15CD">
        <w:rPr>
          <w:rFonts w:cs="Times New Roman"/>
          <w:lang w:val="en-US"/>
        </w:rPr>
        <w:t xml:space="preserve">which use the category of retired persons as a </w:t>
      </w:r>
      <w:r w:rsidR="006A15CD" w:rsidRPr="004D6CAB">
        <w:rPr>
          <w:rFonts w:cs="Times New Roman"/>
        </w:rPr>
        <w:t>mass of manoeuvr</w:t>
      </w:r>
      <w:r w:rsidR="006A15CD">
        <w:rPr>
          <w:rFonts w:cs="Times New Roman"/>
        </w:rPr>
        <w:t>e</w:t>
      </w:r>
      <w:r w:rsidR="006A15CD" w:rsidRPr="004D6CAB">
        <w:rPr>
          <w:rFonts w:cs="Times New Roman"/>
        </w:rPr>
        <w:t xml:space="preserve"> for electoral purposes (</w:t>
      </w:r>
      <w:proofErr w:type="spellStart"/>
      <w:r w:rsidR="006A15CD" w:rsidRPr="004D6CAB">
        <w:rPr>
          <w:rFonts w:cs="Times New Roman"/>
        </w:rPr>
        <w:t>Preda</w:t>
      </w:r>
      <w:proofErr w:type="spellEnd"/>
      <w:r w:rsidR="006A15CD" w:rsidRPr="004D6CAB">
        <w:rPr>
          <w:rFonts w:cs="Times New Roman"/>
        </w:rPr>
        <w:t xml:space="preserve"> and </w:t>
      </w:r>
      <w:proofErr w:type="spellStart"/>
      <w:r w:rsidR="006A15CD" w:rsidRPr="004D6CAB">
        <w:rPr>
          <w:rFonts w:cs="Times New Roman"/>
        </w:rPr>
        <w:t>Grigoras</w:t>
      </w:r>
      <w:proofErr w:type="spellEnd"/>
      <w:r w:rsidR="006A15CD" w:rsidRPr="004D6CAB">
        <w:rPr>
          <w:rFonts w:cs="Times New Roman"/>
        </w:rPr>
        <w:t>, 2011).</w:t>
      </w:r>
    </w:p>
    <w:p w:rsidR="009068CA" w:rsidRPr="004D6CAB" w:rsidRDefault="00FE0B51" w:rsidP="008936BD">
      <w:pPr>
        <w:spacing w:after="0"/>
        <w:jc w:val="both"/>
        <w:rPr>
          <w:rFonts w:ascii="Times New Roman" w:hAnsi="Times New Roman" w:cs="Times New Roman"/>
        </w:rPr>
      </w:pPr>
      <w:r>
        <w:rPr>
          <w:rFonts w:ascii="Times New Roman" w:hAnsi="Times New Roman" w:cs="Times New Roman"/>
        </w:rPr>
        <w:t>T</w:t>
      </w:r>
      <w:r w:rsidR="009068CA" w:rsidRPr="004D6CAB">
        <w:rPr>
          <w:rFonts w:ascii="Times New Roman" w:hAnsi="Times New Roman" w:cs="Times New Roman"/>
        </w:rPr>
        <w:t xml:space="preserve">he sustainability </w:t>
      </w:r>
      <w:r w:rsidR="00364F84">
        <w:rPr>
          <w:rFonts w:ascii="Times New Roman" w:hAnsi="Times New Roman" w:cs="Times New Roman"/>
        </w:rPr>
        <w:t xml:space="preserve">issue </w:t>
      </w:r>
      <w:r w:rsidR="009068CA" w:rsidRPr="004D6CAB">
        <w:rPr>
          <w:rFonts w:ascii="Times New Roman" w:hAnsi="Times New Roman" w:cs="Times New Roman"/>
        </w:rPr>
        <w:t xml:space="preserve">of the </w:t>
      </w:r>
      <w:r>
        <w:rPr>
          <w:rFonts w:ascii="Times New Roman" w:hAnsi="Times New Roman" w:cs="Times New Roman"/>
        </w:rPr>
        <w:t xml:space="preserve">public </w:t>
      </w:r>
      <w:r w:rsidR="009068CA" w:rsidRPr="004D6CAB">
        <w:rPr>
          <w:rFonts w:ascii="Times New Roman" w:hAnsi="Times New Roman" w:cs="Times New Roman"/>
        </w:rPr>
        <w:t>pension system</w:t>
      </w:r>
      <w:r w:rsidR="00364F84">
        <w:rPr>
          <w:rFonts w:ascii="Times New Roman" w:hAnsi="Times New Roman" w:cs="Times New Roman"/>
        </w:rPr>
        <w:t>s</w:t>
      </w:r>
      <w:r w:rsidR="009068CA" w:rsidRPr="004D6CAB">
        <w:rPr>
          <w:rFonts w:ascii="Times New Roman" w:hAnsi="Times New Roman" w:cs="Times New Roman"/>
        </w:rPr>
        <w:t xml:space="preserve"> </w:t>
      </w:r>
      <w:r>
        <w:rPr>
          <w:rFonts w:ascii="Times New Roman" w:hAnsi="Times New Roman" w:cs="Times New Roman"/>
        </w:rPr>
        <w:t xml:space="preserve">has been amply </w:t>
      </w:r>
      <w:r w:rsidR="009068CA" w:rsidRPr="004D6CAB">
        <w:rPr>
          <w:rFonts w:ascii="Times New Roman" w:hAnsi="Times New Roman" w:cs="Times New Roman"/>
        </w:rPr>
        <w:t xml:space="preserve">analyzed by </w:t>
      </w:r>
      <w:r w:rsidR="000C7FFA">
        <w:rPr>
          <w:rFonts w:ascii="Times New Roman" w:hAnsi="Times New Roman" w:cs="Times New Roman"/>
        </w:rPr>
        <w:t xml:space="preserve">many specialists </w:t>
      </w:r>
      <w:r w:rsidR="009068CA" w:rsidRPr="004D6CAB">
        <w:rPr>
          <w:rFonts w:ascii="Times New Roman" w:hAnsi="Times New Roman" w:cs="Times New Roman"/>
        </w:rPr>
        <w:t>(</w:t>
      </w:r>
      <w:r w:rsidR="000C7FFA">
        <w:rPr>
          <w:rFonts w:ascii="Times New Roman" w:hAnsi="Times New Roman" w:cs="Times New Roman"/>
        </w:rPr>
        <w:t xml:space="preserve">see, for example </w:t>
      </w:r>
      <w:r w:rsidR="009068CA" w:rsidRPr="004D6CAB">
        <w:rPr>
          <w:rFonts w:ascii="Times New Roman" w:hAnsi="Times New Roman" w:cs="Times New Roman"/>
        </w:rPr>
        <w:t xml:space="preserve">Barr, 2006 and Barr &amp; Diamond, 2006). </w:t>
      </w:r>
      <w:r w:rsidR="000C7FFA">
        <w:rPr>
          <w:rFonts w:ascii="Times New Roman" w:hAnsi="Times New Roman" w:cs="Times New Roman"/>
        </w:rPr>
        <w:t>O</w:t>
      </w:r>
      <w:r w:rsidR="009068CA" w:rsidRPr="004D6CAB">
        <w:rPr>
          <w:rFonts w:ascii="Times New Roman" w:hAnsi="Times New Roman" w:cs="Times New Roman"/>
        </w:rPr>
        <w:t>ne</w:t>
      </w:r>
      <w:r w:rsidR="000C7FFA">
        <w:rPr>
          <w:rFonts w:ascii="Times New Roman" w:hAnsi="Times New Roman" w:cs="Times New Roman"/>
        </w:rPr>
        <w:t xml:space="preserve"> proposed solution </w:t>
      </w:r>
      <w:r w:rsidR="007448C6" w:rsidRPr="004D6CAB">
        <w:rPr>
          <w:rFonts w:ascii="Times New Roman" w:hAnsi="Times New Roman" w:cs="Times New Roman"/>
        </w:rPr>
        <w:t>i</w:t>
      </w:r>
      <w:r w:rsidR="009068CA" w:rsidRPr="004D6CAB">
        <w:rPr>
          <w:rFonts w:ascii="Times New Roman" w:hAnsi="Times New Roman" w:cs="Times New Roman"/>
        </w:rPr>
        <w:t xml:space="preserve">s </w:t>
      </w:r>
      <w:r w:rsidR="007448C6" w:rsidRPr="004D6CAB">
        <w:rPr>
          <w:rFonts w:ascii="Times New Roman" w:hAnsi="Times New Roman" w:cs="Times New Roman"/>
        </w:rPr>
        <w:t>th</w:t>
      </w:r>
      <w:r w:rsidR="000C7FFA">
        <w:rPr>
          <w:rFonts w:ascii="Times New Roman" w:hAnsi="Times New Roman" w:cs="Times New Roman"/>
        </w:rPr>
        <w:t xml:space="preserve">e </w:t>
      </w:r>
      <w:r w:rsidR="009068CA" w:rsidRPr="004D6CAB">
        <w:rPr>
          <w:rFonts w:ascii="Times New Roman" w:hAnsi="Times New Roman" w:cs="Times New Roman"/>
        </w:rPr>
        <w:t>reduc</w:t>
      </w:r>
      <w:r w:rsidR="000C7FFA">
        <w:rPr>
          <w:rFonts w:ascii="Times New Roman" w:hAnsi="Times New Roman" w:cs="Times New Roman"/>
        </w:rPr>
        <w:t>tion of benefits as a share in average salary</w:t>
      </w:r>
      <w:r w:rsidR="009068CA" w:rsidRPr="004D6CAB">
        <w:rPr>
          <w:rFonts w:ascii="Times New Roman" w:hAnsi="Times New Roman" w:cs="Times New Roman"/>
        </w:rPr>
        <w:t xml:space="preserve">, as </w:t>
      </w:r>
      <w:r w:rsidR="000C7FFA">
        <w:rPr>
          <w:rFonts w:ascii="Times New Roman" w:hAnsi="Times New Roman" w:cs="Times New Roman"/>
        </w:rPr>
        <w:t xml:space="preserve">it happened </w:t>
      </w:r>
      <w:r w:rsidR="009068CA" w:rsidRPr="004D6CAB">
        <w:rPr>
          <w:rFonts w:ascii="Times New Roman" w:hAnsi="Times New Roman" w:cs="Times New Roman"/>
        </w:rPr>
        <w:t xml:space="preserve">in </w:t>
      </w:r>
      <w:r w:rsidR="000C7FFA">
        <w:rPr>
          <w:rFonts w:ascii="Times New Roman" w:hAnsi="Times New Roman" w:cs="Times New Roman"/>
        </w:rPr>
        <w:t xml:space="preserve">Great </w:t>
      </w:r>
      <w:r w:rsidR="00364F84">
        <w:rPr>
          <w:rFonts w:ascii="Times New Roman" w:hAnsi="Times New Roman" w:cs="Times New Roman"/>
        </w:rPr>
        <w:t>Britain</w:t>
      </w:r>
      <w:r w:rsidR="009068CA" w:rsidRPr="004D6CAB">
        <w:rPr>
          <w:rFonts w:ascii="Times New Roman" w:hAnsi="Times New Roman" w:cs="Times New Roman"/>
        </w:rPr>
        <w:t xml:space="preserve">. </w:t>
      </w:r>
      <w:r w:rsidR="00364F84">
        <w:rPr>
          <w:rFonts w:ascii="Times New Roman" w:hAnsi="Times New Roman" w:cs="Times New Roman"/>
        </w:rPr>
        <w:t xml:space="preserve">Other economists propose to increase the retirement age </w:t>
      </w:r>
      <w:r w:rsidR="006D1B5D">
        <w:rPr>
          <w:rFonts w:ascii="Times New Roman" w:hAnsi="Times New Roman" w:cs="Times New Roman"/>
        </w:rPr>
        <w:t>in one step, not gradually, in order to reduce the deficit</w:t>
      </w:r>
      <w:r w:rsidR="00364F84">
        <w:rPr>
          <w:rFonts w:ascii="Times New Roman" w:hAnsi="Times New Roman" w:cs="Times New Roman"/>
        </w:rPr>
        <w:t xml:space="preserve"> </w:t>
      </w:r>
      <w:r w:rsidR="009068CA" w:rsidRPr="004D6CAB">
        <w:rPr>
          <w:rFonts w:ascii="Times New Roman" w:hAnsi="Times New Roman" w:cs="Times New Roman"/>
        </w:rPr>
        <w:t>(</w:t>
      </w:r>
      <w:proofErr w:type="spellStart"/>
      <w:r w:rsidR="009068CA" w:rsidRPr="004D6CAB">
        <w:rPr>
          <w:rFonts w:ascii="Times New Roman" w:hAnsi="Times New Roman" w:cs="Times New Roman"/>
        </w:rPr>
        <w:t>Sayan</w:t>
      </w:r>
      <w:proofErr w:type="spellEnd"/>
      <w:r w:rsidR="009068CA" w:rsidRPr="004D6CAB">
        <w:rPr>
          <w:rFonts w:ascii="Times New Roman" w:hAnsi="Times New Roman" w:cs="Times New Roman"/>
        </w:rPr>
        <w:t xml:space="preserve"> and </w:t>
      </w:r>
      <w:proofErr w:type="spellStart"/>
      <w:r w:rsidR="009068CA" w:rsidRPr="004D6CAB">
        <w:rPr>
          <w:rFonts w:ascii="Times New Roman" w:hAnsi="Times New Roman" w:cs="Times New Roman"/>
        </w:rPr>
        <w:t>Kiraci</w:t>
      </w:r>
      <w:proofErr w:type="spellEnd"/>
      <w:r w:rsidR="009068CA" w:rsidRPr="004D6CAB">
        <w:rPr>
          <w:rFonts w:ascii="Times New Roman" w:hAnsi="Times New Roman" w:cs="Times New Roman"/>
        </w:rPr>
        <w:t>, 2000).</w:t>
      </w:r>
    </w:p>
    <w:p w:rsidR="00F82DCF" w:rsidRPr="004D6CAB" w:rsidRDefault="004C14AF" w:rsidP="008936BD">
      <w:pPr>
        <w:spacing w:after="0"/>
        <w:jc w:val="both"/>
        <w:rPr>
          <w:rFonts w:ascii="Times New Roman" w:hAnsi="Times New Roman" w:cs="Times New Roman"/>
        </w:rPr>
      </w:pPr>
      <w:r w:rsidRPr="004D6CAB">
        <w:rPr>
          <w:rFonts w:ascii="Times New Roman" w:hAnsi="Times New Roman" w:cs="Times New Roman"/>
        </w:rPr>
        <w:t xml:space="preserve">   </w:t>
      </w:r>
    </w:p>
    <w:p w:rsidR="00DC586F" w:rsidRPr="004D6CAB" w:rsidRDefault="001D4ED0" w:rsidP="008936BD">
      <w:pPr>
        <w:spacing w:after="0"/>
        <w:jc w:val="both"/>
        <w:rPr>
          <w:rFonts w:ascii="Times New Roman" w:hAnsi="Times New Roman" w:cs="Times New Roman"/>
        </w:rPr>
      </w:pPr>
      <w:r w:rsidRPr="004D6CAB">
        <w:rPr>
          <w:rFonts w:ascii="Times New Roman" w:hAnsi="Times New Roman" w:cs="Times New Roman"/>
        </w:rPr>
        <w:t xml:space="preserve">  </w:t>
      </w:r>
      <w:r w:rsidR="00BA70AE" w:rsidRPr="004D6CAB">
        <w:rPr>
          <w:rFonts w:ascii="Times New Roman" w:hAnsi="Times New Roman" w:cs="Times New Roman"/>
        </w:rPr>
        <w:t xml:space="preserve"> </w:t>
      </w:r>
      <w:r w:rsidR="0094460F" w:rsidRPr="004D6CAB">
        <w:rPr>
          <w:rFonts w:ascii="Times New Roman" w:hAnsi="Times New Roman" w:cs="Times New Roman"/>
        </w:rPr>
        <w:t xml:space="preserve"> </w:t>
      </w:r>
      <w:r w:rsidR="008E6C0F" w:rsidRPr="004D6CAB">
        <w:rPr>
          <w:rFonts w:ascii="Times New Roman" w:hAnsi="Times New Roman" w:cs="Times New Roman"/>
        </w:rPr>
        <w:t xml:space="preserve"> </w:t>
      </w:r>
      <w:r w:rsidR="00AC6844" w:rsidRPr="004D6CAB">
        <w:rPr>
          <w:rFonts w:ascii="Times New Roman" w:hAnsi="Times New Roman" w:cs="Times New Roman"/>
        </w:rPr>
        <w:t xml:space="preserve"> </w:t>
      </w:r>
      <w:r w:rsidR="00580987" w:rsidRPr="004D6CAB">
        <w:rPr>
          <w:rFonts w:ascii="Times New Roman" w:hAnsi="Times New Roman" w:cs="Times New Roman"/>
        </w:rPr>
        <w:t xml:space="preserve"> </w:t>
      </w:r>
    </w:p>
    <w:p w:rsidR="00DC586F" w:rsidRPr="004D6CAB" w:rsidRDefault="00DC586F" w:rsidP="008936BD">
      <w:pPr>
        <w:pStyle w:val="Paragraphedeliste"/>
        <w:numPr>
          <w:ilvl w:val="0"/>
          <w:numId w:val="1"/>
        </w:numPr>
        <w:spacing w:after="0"/>
        <w:jc w:val="both"/>
        <w:rPr>
          <w:rFonts w:ascii="Times New Roman" w:hAnsi="Times New Roman" w:cs="Times New Roman"/>
          <w:b/>
          <w:sz w:val="28"/>
          <w:szCs w:val="28"/>
        </w:rPr>
      </w:pPr>
      <w:r w:rsidRPr="004D6CAB">
        <w:rPr>
          <w:rFonts w:ascii="Times New Roman" w:hAnsi="Times New Roman" w:cs="Times New Roman"/>
          <w:b/>
          <w:sz w:val="28"/>
          <w:szCs w:val="28"/>
        </w:rPr>
        <w:t>Main characteristics of the Romanian pension system</w:t>
      </w:r>
    </w:p>
    <w:p w:rsidR="000C168C" w:rsidRPr="004D6CAB" w:rsidRDefault="000C168C" w:rsidP="008936BD">
      <w:pPr>
        <w:spacing w:after="0"/>
        <w:jc w:val="both"/>
        <w:rPr>
          <w:rFonts w:ascii="Times New Roman" w:hAnsi="Times New Roman" w:cs="Times New Roman"/>
        </w:rPr>
      </w:pPr>
    </w:p>
    <w:p w:rsidR="00330C98" w:rsidRPr="004D6CAB" w:rsidRDefault="00330C98" w:rsidP="00330C98">
      <w:pPr>
        <w:pStyle w:val="Flietext"/>
        <w:spacing w:before="0" w:line="276" w:lineRule="auto"/>
      </w:pPr>
      <w:r w:rsidRPr="004D6CAB">
        <w:t xml:space="preserve">Romania uses a mixed financing scheme of old-age pensions. The unfunded scheme, of PAYG type, consists of Pillar I (public, compulsory) based on intergenerational solidarity. Pillar II (private, compulsory) represents the funded component of the system. A voluntary scheme (Pillar III) was introduced in May 2007 as part of the pension reform.     </w:t>
      </w:r>
    </w:p>
    <w:p w:rsidR="00330C98" w:rsidRPr="004D6CAB" w:rsidRDefault="00330C98" w:rsidP="00330C98">
      <w:pPr>
        <w:pStyle w:val="Flietext"/>
        <w:spacing w:before="0" w:line="276" w:lineRule="auto"/>
      </w:pPr>
      <w:r w:rsidRPr="004D6CAB">
        <w:t xml:space="preserve">The first pillar replaced the former PAYG scheme inherited from the communist period. It covers the employed persons with individual labour contract, civil servants, diplomatic personnel, legislative and juridical authorities, craft cooperative members, and recipients of unemployment benefits. The pension benefits are calculated on the basis of individuals’ accumulated points, which are determined by contributor’s wage relative to the average wage in the economy. Since January 2011 the point value has been set at RON 732.8, which is equivalent to EURO 174. The contribution rates depend on the working conditions; currently, they represent 31.3% for normal conditions, 36.3% for arduous conditions, respectively 41.3% for very arduous conditions. The employee contributes by 10.5% in all situations, the difference being covered by the employer. </w:t>
      </w:r>
    </w:p>
    <w:p w:rsidR="00330C98" w:rsidRPr="004D6CAB" w:rsidRDefault="00330C98" w:rsidP="00330C98">
      <w:pPr>
        <w:pStyle w:val="Flietext"/>
        <w:spacing w:before="0" w:line="276" w:lineRule="auto"/>
      </w:pPr>
      <w:r w:rsidRPr="004D6CAB">
        <w:t xml:space="preserve">A special regime exists within the unfunded scheme – the so called “service pensions” – for magistrates, judges and prosecutors. In November 2011, 2837 persons benefited from this scheme; their average pension amounted to RON 9034 (EURO 2146), of which 88.6% paid from the state budget and the rest from the contributions to the Pillar I. </w:t>
      </w:r>
    </w:p>
    <w:p w:rsidR="00330C98" w:rsidRPr="004D6CAB" w:rsidRDefault="00330C98" w:rsidP="00330C98">
      <w:pPr>
        <w:pStyle w:val="Flietext"/>
        <w:spacing w:before="0" w:line="276" w:lineRule="auto"/>
      </w:pPr>
      <w:r w:rsidRPr="004D6CAB">
        <w:t xml:space="preserve">In 2009, the Romanian government introduced, equally as an unfunded scheme, the </w:t>
      </w:r>
      <w:r w:rsidRPr="004D6CAB">
        <w:rPr>
          <w:i/>
        </w:rPr>
        <w:t>minimum guaranteed social pension</w:t>
      </w:r>
      <w:r w:rsidRPr="004D6CAB">
        <w:t xml:space="preserve">, financed exclusively from the state budget. In 2010, this benefit was renamed </w:t>
      </w:r>
      <w:r w:rsidRPr="004D6CAB">
        <w:rPr>
          <w:i/>
        </w:rPr>
        <w:t xml:space="preserve">social indemnity for pensioners </w:t>
      </w:r>
      <w:r w:rsidRPr="004D6CAB">
        <w:t>but the granting rules remained the same.</w:t>
      </w:r>
    </w:p>
    <w:p w:rsidR="00330C98" w:rsidRPr="004D6CAB" w:rsidRDefault="00330C98" w:rsidP="00330C98">
      <w:pPr>
        <w:pStyle w:val="Flietext"/>
        <w:spacing w:before="0" w:line="276" w:lineRule="auto"/>
      </w:pPr>
      <w:r w:rsidRPr="004D6CAB">
        <w:t>The second pillar of the system was introduced in 2007 as a compulsory scheme for all persons below the age of 35 at January 1</w:t>
      </w:r>
      <w:r w:rsidRPr="004D6CAB">
        <w:rPr>
          <w:vertAlign w:val="superscript"/>
        </w:rPr>
        <w:t>st</w:t>
      </w:r>
      <w:r w:rsidRPr="004D6CAB">
        <w:t xml:space="preserve"> 2008 and optional for those aged between 36 and 45 years at that date. It is a Defined Contribution (DC) scheme, with benefits calculated on the basis of individuals’ contributions and investment earnings. The starting contribution rate represented 2%, which will gradually increase by 0.5 percentage points every year, to reach </w:t>
      </w:r>
      <w:r w:rsidRPr="004D6CAB">
        <w:lastRenderedPageBreak/>
        <w:t xml:space="preserve">6% by the end of 2016. In December 2011, a total of 5.52 million contributors were recorded with the second pillar, where 9 pension funds were active. </w:t>
      </w:r>
    </w:p>
    <w:p w:rsidR="00330C98" w:rsidRPr="004D6CAB" w:rsidRDefault="00330C98" w:rsidP="00330C98">
      <w:pPr>
        <w:pStyle w:val="Flietext"/>
        <w:spacing w:before="0" w:line="276" w:lineRule="auto"/>
      </w:pPr>
      <w:r w:rsidRPr="004D6CAB">
        <w:t>The third pillar was introduced in May 2007, equally as a DC system, and is alimented through voluntary contributions; the individual contribution rate is limited at maximum 15% of the gross wage. In December 2011 there were 260.4 thousand persons contributing to the voluntary pillar, where 13 pension funds were accredited to collect voluntary contributions.</w:t>
      </w:r>
    </w:p>
    <w:p w:rsidR="00330C98" w:rsidRPr="004D6CAB" w:rsidRDefault="00330C98" w:rsidP="00D2021B">
      <w:pPr>
        <w:pStyle w:val="Flietext"/>
        <w:spacing w:before="0" w:line="276" w:lineRule="auto"/>
      </w:pPr>
      <w:r w:rsidRPr="004D6CAB">
        <w:t xml:space="preserve">The standard retirement age is 63 years for women and 65 years for men, to be reached by the end of 2014, </w:t>
      </w:r>
      <w:r w:rsidR="00756246" w:rsidRPr="004D6CAB">
        <w:t>(</w:t>
      </w:r>
      <w:r w:rsidR="000C78D0" w:rsidRPr="004D6CAB">
        <w:t>although, some authors believe that retirement age should be equal for men and women, given that men retired in Romania benefit from their pensions about 19 years, while women average benefit from pension is about 24 years, spending more years benefiting from the pension than the number of years they spent contributing to the fund, (</w:t>
      </w:r>
      <w:proofErr w:type="spellStart"/>
      <w:r w:rsidR="000C78D0" w:rsidRPr="004D6CAB">
        <w:t>Preda</w:t>
      </w:r>
      <w:proofErr w:type="spellEnd"/>
      <w:r w:rsidR="000C78D0" w:rsidRPr="004D6CAB">
        <w:t xml:space="preserve"> and </w:t>
      </w:r>
      <w:proofErr w:type="spellStart"/>
      <w:r w:rsidR="000C78D0" w:rsidRPr="004D6CAB">
        <w:t>Grigoras</w:t>
      </w:r>
      <w:proofErr w:type="spellEnd"/>
      <w:r w:rsidR="000C78D0" w:rsidRPr="004D6CAB">
        <w:t>, 2011</w:t>
      </w:r>
      <w:r w:rsidR="00756246" w:rsidRPr="004D6CAB">
        <w:t>)</w:t>
      </w:r>
      <w:r w:rsidR="000C78D0" w:rsidRPr="004D6CAB">
        <w:t>)</w:t>
      </w:r>
      <w:r w:rsidR="000C25C0" w:rsidRPr="004D6CAB">
        <w:t xml:space="preserve">, </w:t>
      </w:r>
      <w:r w:rsidRPr="004D6CAB">
        <w:t xml:space="preserve">when the standard contribution period giving rights to full pension benefits will attain 30 years for women and respectively 35 years for men. Currently (January 2012) the retirement age is 59 years and 3 months for women and 64 years and 3 months for men, while the full contribution period 28.5 years for women and 33.5 years for men. </w:t>
      </w:r>
    </w:p>
    <w:p w:rsidR="00330C98" w:rsidRPr="004D6CAB" w:rsidRDefault="00330C98" w:rsidP="00330C98">
      <w:pPr>
        <w:pStyle w:val="Flietext"/>
        <w:spacing w:before="0" w:line="276" w:lineRule="auto"/>
      </w:pPr>
      <w:r w:rsidRPr="004D6CAB">
        <w:t xml:space="preserve">The Romanian old-age pension system allows for premature retirement </w:t>
      </w:r>
      <w:proofErr w:type="gramStart"/>
      <w:r w:rsidRPr="004D6CAB">
        <w:t>under</w:t>
      </w:r>
      <w:proofErr w:type="gramEnd"/>
      <w:r w:rsidRPr="004D6CAB">
        <w:t xml:space="preserve"> two different schemes: early retirement, respectively partial early retirement. The first scheme concerns the employees aged maximum 5 years below the legal age of retirement who contributed for at least 8 years above the standard contribution period. The partial early retirement is allowed for those having completed their contribution period and aged maximum 5 years below the legal retirement age. In case of partial early retirement, the benefit is penalised by 0.75% for each month below the legal age of retirement.</w:t>
      </w:r>
    </w:p>
    <w:p w:rsidR="00330C98" w:rsidRPr="004D6CAB" w:rsidRDefault="00330C98" w:rsidP="00330C98">
      <w:pPr>
        <w:pStyle w:val="Flietext"/>
        <w:spacing w:before="0" w:line="276" w:lineRule="auto"/>
      </w:pPr>
      <w:r w:rsidRPr="004D6CAB">
        <w:t>The reform of the Romanian pension system started with the adoption of Law 19/2000, which replaced the former public scheme inherited from the communist period by a new system (Pillar I) based on pension points. Four years later, the Law 411/2004 introduced the second compulsory pillar in the system, which is privately administrated through individual accounts. These initial reforms were completed by the adoption of Law 204/2006, which introduced the third (voluntary) pillar, equally privately administrated.</w:t>
      </w:r>
    </w:p>
    <w:p w:rsidR="00330C98" w:rsidRPr="004D6CAB" w:rsidRDefault="00330C98" w:rsidP="00330C98">
      <w:pPr>
        <w:pStyle w:val="Flietext"/>
        <w:spacing w:before="0" w:line="276" w:lineRule="auto"/>
      </w:pPr>
      <w:r w:rsidRPr="004D6CAB">
        <w:t xml:space="preserve">In 2008 the Law 263/2008 was adopted; the act defines the contributory scheme for farmers, which were previously exempted from paying contributions but benefited from pensions paid from the Social Insurance budget of the first pillar of the system. The contributory scheme is based on a twining mechanism: the personal contribution is complemented by the state budget through the so called </w:t>
      </w:r>
      <w:r w:rsidRPr="004D6CAB">
        <w:rPr>
          <w:i/>
        </w:rPr>
        <w:t>mutual contributory unit</w:t>
      </w:r>
      <w:r w:rsidRPr="004D6CAB">
        <w:t xml:space="preserve">. The state contribution is generally 2 or 3 times higher than the personal contribution of individuals. </w:t>
      </w:r>
    </w:p>
    <w:p w:rsidR="00330C98" w:rsidRPr="004D6CAB" w:rsidRDefault="00330C98" w:rsidP="00330C98">
      <w:pPr>
        <w:pStyle w:val="Flietext"/>
        <w:spacing w:before="0" w:line="276" w:lineRule="auto"/>
      </w:pPr>
      <w:r w:rsidRPr="004D6CAB">
        <w:t>In 2010 the parliament passed the Law 263/2010 on the unified public pension system, which replaces all the previously adopted legislation in the field. The new law, which entered into force on 1</w:t>
      </w:r>
      <w:r w:rsidRPr="004D6CAB">
        <w:rPr>
          <w:vertAlign w:val="superscript"/>
        </w:rPr>
        <w:t>st</w:t>
      </w:r>
      <w:r w:rsidRPr="004D6CAB">
        <w:t xml:space="preserve"> January 2011, unified the various public regimes into a single one under the first pillar of the system. Military and police personnel, lawyers, high officials and related professional categories that benefited from “special pension regimes” were included in the public system. At the same time, according to a Government Emergency Ordinance from November 2011, all the employees belonging to these professional categories have to adhere to a pension fund of the second pillar by July 2012. The contribution rules, the benefit entitlement and the retirement age were equally harmonized, which required the adoption of a </w:t>
      </w:r>
      <w:r w:rsidRPr="004D6CAB">
        <w:lastRenderedPageBreak/>
        <w:t>long and complex mechanism for recalculating those special pensions. The obligation to pay contributions was extended for self-employed and related categories.</w:t>
      </w:r>
    </w:p>
    <w:p w:rsidR="00330C98" w:rsidRPr="004D6CAB" w:rsidRDefault="00330C98" w:rsidP="00330C98">
      <w:pPr>
        <w:pStyle w:val="Flietext"/>
        <w:spacing w:before="0" w:line="276" w:lineRule="auto"/>
      </w:pPr>
      <w:r w:rsidRPr="004D6CAB">
        <w:t xml:space="preserve">The law introduced more restrictive conditions for early retirement and partial early retirement by penalising up to 45% the pension benefit in case of incomplete contributory period or when retirement takes place before the standard age. This measure was imposed by the large number of early retirements hat have been recorded since 2001, when the first law on pension reform entered into force: in only 5 years after the adoption of the law, Romania recorded 6.7 times more early retirements according to the official statistics.     </w:t>
      </w:r>
    </w:p>
    <w:p w:rsidR="000076BD" w:rsidRPr="004D6CAB" w:rsidRDefault="00330C98" w:rsidP="00330C98">
      <w:pPr>
        <w:pStyle w:val="Flietext"/>
        <w:spacing w:before="0" w:line="276" w:lineRule="auto"/>
      </w:pPr>
      <w:r w:rsidRPr="004D6CAB">
        <w:t>The regime of granting disability pensions is equally revised in the new law, by hardening the retirement conditions for this category. The number of disability retirements passed from 208,000 in 1990 to 920,000 in 2009, when the share of disability pensioners represented 16% of the total number of retirement beneficiaries (</w:t>
      </w:r>
      <w:proofErr w:type="spellStart"/>
      <w:r w:rsidRPr="004D6CAB">
        <w:t>Soare</w:t>
      </w:r>
      <w:proofErr w:type="spellEnd"/>
      <w:r w:rsidRPr="004D6CAB">
        <w:t>, 2010). Since a relatively large proportion of beneficiaries obtained fraudulently the disability status and therefore the benefit, the law stipulates the obligation of medical re-expertise of all existing beneficiaries of a disability pension.</w:t>
      </w:r>
    </w:p>
    <w:p w:rsidR="000C78D0" w:rsidRPr="004D6CAB" w:rsidRDefault="000C78D0" w:rsidP="00330C98">
      <w:pPr>
        <w:pStyle w:val="Flietext"/>
        <w:spacing w:before="0" w:line="276" w:lineRule="auto"/>
      </w:pPr>
      <w:r w:rsidRPr="004D6CAB">
        <w:t xml:space="preserve">An important </w:t>
      </w:r>
      <w:r w:rsidR="00570E23" w:rsidRPr="004D6CAB">
        <w:t>way</w:t>
      </w:r>
      <w:r w:rsidRPr="004D6CAB">
        <w:t xml:space="preserve"> to support the pension system is represented by a complementary aspect to be taken into account by managers of the public system, which can positively affect the older population problem in Romania, namely, taking into account the effects of pension reform on the labo</w:t>
      </w:r>
      <w:r w:rsidR="00E01A80" w:rsidRPr="004D6CAB">
        <w:t>u</w:t>
      </w:r>
      <w:r w:rsidRPr="004D6CAB">
        <w:t>r supply, and especially the increased involvement of older workers in activities that create new value, considering the fact that labo</w:t>
      </w:r>
      <w:r w:rsidR="00E01A80" w:rsidRPr="004D6CAB">
        <w:t>u</w:t>
      </w:r>
      <w:r w:rsidRPr="004D6CAB">
        <w:t xml:space="preserve">r supply </w:t>
      </w:r>
      <w:r w:rsidR="00A02C45" w:rsidRPr="004D6CAB">
        <w:t xml:space="preserve">of the older workers is responsive to changes in retirement incentives, while that of the younger workers is less responsive </w:t>
      </w:r>
      <w:r w:rsidRPr="004D6CAB">
        <w:t xml:space="preserve">(French and Jones, 2012). In this respect, decision-makers in Romania in this area </w:t>
      </w:r>
      <w:r w:rsidR="00382672" w:rsidRPr="004D6CAB">
        <w:t xml:space="preserve">did </w:t>
      </w:r>
      <w:r w:rsidRPr="004D6CAB">
        <w:t xml:space="preserve">not </w:t>
      </w:r>
      <w:r w:rsidR="00382672" w:rsidRPr="004D6CAB">
        <w:t>discuss and decide</w:t>
      </w:r>
      <w:r w:rsidRPr="004D6CAB">
        <w:t xml:space="preserve"> on the necessary framework regulation, especially targeting </w:t>
      </w:r>
      <w:r w:rsidR="00DD736C" w:rsidRPr="004D6CAB">
        <w:t>the young people</w:t>
      </w:r>
      <w:r w:rsidRPr="004D6CAB">
        <w:t xml:space="preserve"> issues aimed at </w:t>
      </w:r>
      <w:r w:rsidR="00A02C45" w:rsidRPr="004D6CAB">
        <w:t>sustain</w:t>
      </w:r>
      <w:r w:rsidR="00E01A80" w:rsidRPr="004D6CAB">
        <w:t>ing</w:t>
      </w:r>
      <w:r w:rsidR="00A02C45" w:rsidRPr="004D6CAB">
        <w:t xml:space="preserve"> </w:t>
      </w:r>
      <w:r w:rsidR="00DD736C" w:rsidRPr="004D6CAB">
        <w:t>their</w:t>
      </w:r>
      <w:r w:rsidR="00A02C45" w:rsidRPr="004D6CAB">
        <w:t xml:space="preserve"> </w:t>
      </w:r>
      <w:r w:rsidRPr="004D6CAB">
        <w:t>labo</w:t>
      </w:r>
      <w:r w:rsidR="00E01A80" w:rsidRPr="004D6CAB">
        <w:t>u</w:t>
      </w:r>
      <w:r w:rsidRPr="004D6CAB">
        <w:t>r market insertion.</w:t>
      </w:r>
    </w:p>
    <w:p w:rsidR="00A02C45" w:rsidRPr="004D6CAB" w:rsidRDefault="00A02C45" w:rsidP="00330C98">
      <w:pPr>
        <w:pStyle w:val="Flietext"/>
        <w:spacing w:before="0" w:line="276" w:lineRule="auto"/>
      </w:pPr>
      <w:r w:rsidRPr="004D6CAB">
        <w:t>In this sense, according to some studies (</w:t>
      </w:r>
      <w:proofErr w:type="spellStart"/>
      <w:r w:rsidRPr="004D6CAB">
        <w:t>Karlström</w:t>
      </w:r>
      <w:proofErr w:type="spellEnd"/>
      <w:r w:rsidRPr="004D6CAB">
        <w:t xml:space="preserve"> et al., 2011), should be considered </w:t>
      </w:r>
      <w:r w:rsidR="00E01A80" w:rsidRPr="004D6CAB">
        <w:t>behavioural</w:t>
      </w:r>
      <w:r w:rsidRPr="004D6CAB">
        <w:t xml:space="preserve"> responses in measuring the welfare effect of these reforms, the authors that we remember discovering that, in addition, these </w:t>
      </w:r>
      <w:r w:rsidR="00E01A80" w:rsidRPr="004D6CAB">
        <w:t>behavioural</w:t>
      </w:r>
      <w:r w:rsidRPr="004D6CAB">
        <w:t xml:space="preserve"> responses affect the measure of the welfare distribution effects of the pension systems reform.</w:t>
      </w:r>
    </w:p>
    <w:p w:rsidR="00A02C45" w:rsidRPr="004D6CAB" w:rsidRDefault="00A02C45" w:rsidP="00330C98">
      <w:pPr>
        <w:pStyle w:val="Flietext"/>
        <w:spacing w:before="0" w:line="276" w:lineRule="auto"/>
      </w:pPr>
    </w:p>
    <w:p w:rsidR="00A02C45" w:rsidRPr="004D6CAB" w:rsidRDefault="00A02C45" w:rsidP="00330C98">
      <w:pPr>
        <w:pStyle w:val="Flietext"/>
        <w:spacing w:before="0" w:line="276" w:lineRule="auto"/>
      </w:pPr>
    </w:p>
    <w:p w:rsidR="00905E67" w:rsidRPr="004D6CAB" w:rsidRDefault="00905E67" w:rsidP="008936BD">
      <w:pPr>
        <w:spacing w:after="0"/>
        <w:jc w:val="both"/>
        <w:rPr>
          <w:rFonts w:ascii="Times New Roman" w:hAnsi="Times New Roman" w:cs="Times New Roman"/>
          <w:b/>
          <w:i/>
        </w:rPr>
      </w:pPr>
    </w:p>
    <w:p w:rsidR="0077408D" w:rsidRPr="004D6CAB" w:rsidRDefault="00914F68" w:rsidP="008936BD">
      <w:pPr>
        <w:pStyle w:val="Paragraphedeliste"/>
        <w:numPr>
          <w:ilvl w:val="0"/>
          <w:numId w:val="1"/>
        </w:numPr>
        <w:spacing w:after="0"/>
        <w:jc w:val="both"/>
        <w:rPr>
          <w:rFonts w:ascii="Times New Roman" w:hAnsi="Times New Roman" w:cs="Times New Roman"/>
          <w:b/>
          <w:i/>
          <w:sz w:val="28"/>
          <w:szCs w:val="28"/>
        </w:rPr>
      </w:pPr>
      <w:r w:rsidRPr="004D6CAB">
        <w:rPr>
          <w:rFonts w:ascii="Times New Roman" w:hAnsi="Times New Roman" w:cs="Times New Roman"/>
          <w:b/>
          <w:sz w:val="28"/>
          <w:szCs w:val="28"/>
        </w:rPr>
        <w:t xml:space="preserve">Equity issues </w:t>
      </w:r>
      <w:r w:rsidR="0077408D" w:rsidRPr="004D6CAB">
        <w:rPr>
          <w:rFonts w:ascii="Times New Roman" w:hAnsi="Times New Roman" w:cs="Times New Roman"/>
          <w:b/>
          <w:sz w:val="28"/>
          <w:szCs w:val="28"/>
        </w:rPr>
        <w:t>at national level</w:t>
      </w:r>
    </w:p>
    <w:p w:rsidR="001956E2" w:rsidRPr="004D6CAB" w:rsidRDefault="001956E2" w:rsidP="008936BD">
      <w:pPr>
        <w:spacing w:after="0"/>
        <w:jc w:val="both"/>
        <w:rPr>
          <w:rFonts w:ascii="Times New Roman" w:hAnsi="Times New Roman" w:cs="Times New Roman"/>
        </w:rPr>
      </w:pPr>
    </w:p>
    <w:p w:rsidR="00F856F3" w:rsidRPr="004D6CAB" w:rsidRDefault="0080241A" w:rsidP="00F856F3">
      <w:pPr>
        <w:spacing w:after="0"/>
        <w:jc w:val="both"/>
        <w:rPr>
          <w:rFonts w:ascii="Times New Roman" w:hAnsi="Times New Roman" w:cs="Times New Roman"/>
        </w:rPr>
      </w:pPr>
      <w:r w:rsidRPr="004D6CAB">
        <w:rPr>
          <w:rFonts w:ascii="Times New Roman" w:hAnsi="Times New Roman" w:cs="Times New Roman"/>
        </w:rPr>
        <w:t xml:space="preserve">The </w:t>
      </w:r>
      <w:r w:rsidR="00BC3F4B">
        <w:rPr>
          <w:rFonts w:ascii="Times New Roman" w:hAnsi="Times New Roman" w:cs="Times New Roman"/>
        </w:rPr>
        <w:t xml:space="preserve">adoption of the </w:t>
      </w:r>
      <w:r w:rsidRPr="004D6CAB">
        <w:rPr>
          <w:rFonts w:ascii="Times New Roman" w:hAnsi="Times New Roman" w:cs="Times New Roman"/>
        </w:rPr>
        <w:t>unitary pension system in January 2011</w:t>
      </w:r>
      <w:r w:rsidR="00BC3F4B">
        <w:rPr>
          <w:rFonts w:ascii="Times New Roman" w:hAnsi="Times New Roman" w:cs="Times New Roman"/>
        </w:rPr>
        <w:t xml:space="preserve"> ended up with an increase of the received benefits for </w:t>
      </w:r>
      <w:r w:rsidR="00F856F3" w:rsidRPr="004D6CAB">
        <w:rPr>
          <w:rFonts w:ascii="Times New Roman" w:hAnsi="Times New Roman" w:cs="Times New Roman"/>
        </w:rPr>
        <w:t>about 10% of pensioners</w:t>
      </w:r>
      <w:r w:rsidR="00BC3F4B">
        <w:rPr>
          <w:rFonts w:ascii="Times New Roman" w:hAnsi="Times New Roman" w:cs="Times New Roman"/>
        </w:rPr>
        <w:t xml:space="preserve">, when compared to </w:t>
      </w:r>
      <w:r w:rsidR="00F856F3" w:rsidRPr="004D6CAB">
        <w:rPr>
          <w:rFonts w:ascii="Times New Roman" w:hAnsi="Times New Roman" w:cs="Times New Roman"/>
        </w:rPr>
        <w:t>the average net wage</w:t>
      </w:r>
      <w:r w:rsidR="00BC3F4B">
        <w:rPr>
          <w:rFonts w:ascii="Times New Roman" w:hAnsi="Times New Roman" w:cs="Times New Roman"/>
        </w:rPr>
        <w:t xml:space="preserve"> in the economy.</w:t>
      </w:r>
      <w:r w:rsidR="00F856F3" w:rsidRPr="004D6CAB">
        <w:rPr>
          <w:rFonts w:ascii="Times New Roman" w:hAnsi="Times New Roman" w:cs="Times New Roman"/>
        </w:rPr>
        <w:t xml:space="preserve"> </w:t>
      </w:r>
      <w:r w:rsidR="00BC3F4B">
        <w:rPr>
          <w:rFonts w:ascii="Times New Roman" w:hAnsi="Times New Roman" w:cs="Times New Roman"/>
        </w:rPr>
        <w:t xml:space="preserve">Overall, the average pension passed from </w:t>
      </w:r>
      <w:r w:rsidR="002229AF">
        <w:rPr>
          <w:rFonts w:ascii="Times New Roman" w:hAnsi="Times New Roman" w:cs="Times New Roman"/>
        </w:rPr>
        <w:t xml:space="preserve">49.02% (in March 2009) to 50.1% (in April 2012) as a share in the net average salary, with major fluctuations over the </w:t>
      </w:r>
      <w:r w:rsidR="00C86A57">
        <w:rPr>
          <w:rFonts w:ascii="Times New Roman" w:hAnsi="Times New Roman" w:cs="Times New Roman"/>
        </w:rPr>
        <w:t xml:space="preserve">entire </w:t>
      </w:r>
      <w:r w:rsidR="002229AF">
        <w:rPr>
          <w:rFonts w:ascii="Times New Roman" w:hAnsi="Times New Roman" w:cs="Times New Roman"/>
        </w:rPr>
        <w:t>period (Figure 1)</w:t>
      </w:r>
      <w:r w:rsidR="00C86A57">
        <w:rPr>
          <w:rFonts w:ascii="Times New Roman" w:hAnsi="Times New Roman" w:cs="Times New Roman"/>
        </w:rPr>
        <w:t>. A</w:t>
      </w:r>
      <w:r w:rsidR="002229AF">
        <w:rPr>
          <w:rFonts w:ascii="Times New Roman" w:hAnsi="Times New Roman" w:cs="Times New Roman"/>
        </w:rPr>
        <w:t xml:space="preserve"> maximum of 55.37% </w:t>
      </w:r>
      <w:r w:rsidR="00C86A57">
        <w:rPr>
          <w:rFonts w:ascii="Times New Roman" w:hAnsi="Times New Roman" w:cs="Times New Roman"/>
        </w:rPr>
        <w:t xml:space="preserve">was </w:t>
      </w:r>
      <w:r w:rsidR="002229AF">
        <w:rPr>
          <w:rFonts w:ascii="Times New Roman" w:hAnsi="Times New Roman" w:cs="Times New Roman"/>
        </w:rPr>
        <w:t>reached in October 2010</w:t>
      </w:r>
      <w:r w:rsidR="00C86A57">
        <w:rPr>
          <w:rFonts w:ascii="Times New Roman" w:hAnsi="Times New Roman" w:cs="Times New Roman"/>
        </w:rPr>
        <w:t xml:space="preserve">, </w:t>
      </w:r>
      <w:r w:rsidR="00786244">
        <w:rPr>
          <w:rFonts w:ascii="Times New Roman" w:hAnsi="Times New Roman" w:cs="Times New Roman"/>
        </w:rPr>
        <w:t xml:space="preserve">and </w:t>
      </w:r>
      <w:r w:rsidR="00C86A57">
        <w:rPr>
          <w:rFonts w:ascii="Times New Roman" w:hAnsi="Times New Roman" w:cs="Times New Roman"/>
        </w:rPr>
        <w:t xml:space="preserve">respectively a minimum of </w:t>
      </w:r>
      <w:r w:rsidR="00786244">
        <w:rPr>
          <w:rFonts w:ascii="Times New Roman" w:hAnsi="Times New Roman" w:cs="Times New Roman"/>
        </w:rPr>
        <w:t>48.44% was recorded in December 2011</w:t>
      </w:r>
      <w:r w:rsidR="002229AF">
        <w:rPr>
          <w:rFonts w:ascii="Times New Roman" w:hAnsi="Times New Roman" w:cs="Times New Roman"/>
        </w:rPr>
        <w:t>.</w:t>
      </w:r>
      <w:r w:rsidR="00C86A57">
        <w:rPr>
          <w:rFonts w:ascii="Times New Roman" w:hAnsi="Times New Roman" w:cs="Times New Roman"/>
        </w:rPr>
        <w:t xml:space="preserve"> In average, between March 2009 and April 2012 the </w:t>
      </w:r>
      <w:r w:rsidR="00786244">
        <w:rPr>
          <w:rFonts w:ascii="Times New Roman" w:hAnsi="Times New Roman" w:cs="Times New Roman"/>
        </w:rPr>
        <w:t xml:space="preserve">average </w:t>
      </w:r>
      <w:r w:rsidR="00C86A57">
        <w:rPr>
          <w:rFonts w:ascii="Times New Roman" w:hAnsi="Times New Roman" w:cs="Times New Roman"/>
        </w:rPr>
        <w:t xml:space="preserve">pension represented 52.17% of the average </w:t>
      </w:r>
      <w:r w:rsidR="00786244">
        <w:rPr>
          <w:rFonts w:ascii="Times New Roman" w:hAnsi="Times New Roman" w:cs="Times New Roman"/>
        </w:rPr>
        <w:t xml:space="preserve">monthly </w:t>
      </w:r>
      <w:r w:rsidR="00C86A57">
        <w:rPr>
          <w:rFonts w:ascii="Times New Roman" w:hAnsi="Times New Roman" w:cs="Times New Roman"/>
        </w:rPr>
        <w:t>wage.</w:t>
      </w:r>
      <w:r w:rsidR="002229AF">
        <w:rPr>
          <w:rFonts w:ascii="Times New Roman" w:hAnsi="Times New Roman" w:cs="Times New Roman"/>
        </w:rPr>
        <w:t xml:space="preserve"> </w:t>
      </w:r>
    </w:p>
    <w:p w:rsidR="00FD025A" w:rsidRDefault="00F856F3" w:rsidP="00D66A35">
      <w:pPr>
        <w:spacing w:after="0"/>
        <w:jc w:val="both"/>
        <w:rPr>
          <w:rFonts w:ascii="Times New Roman" w:hAnsi="Times New Roman" w:cs="Times New Roman"/>
        </w:rPr>
      </w:pPr>
      <w:r w:rsidRPr="004D6CAB">
        <w:rPr>
          <w:rFonts w:ascii="Times New Roman" w:hAnsi="Times New Roman" w:cs="Times New Roman"/>
        </w:rPr>
        <w:t>Th</w:t>
      </w:r>
      <w:r w:rsidR="00786244">
        <w:rPr>
          <w:rFonts w:ascii="Times New Roman" w:hAnsi="Times New Roman" w:cs="Times New Roman"/>
        </w:rPr>
        <w:t xml:space="preserve">ere is therefore a net </w:t>
      </w:r>
      <w:r w:rsidRPr="004D6CAB">
        <w:rPr>
          <w:rFonts w:ascii="Times New Roman" w:hAnsi="Times New Roman" w:cs="Times New Roman"/>
        </w:rPr>
        <w:t xml:space="preserve">welfare </w:t>
      </w:r>
      <w:r w:rsidR="00786244">
        <w:rPr>
          <w:rFonts w:ascii="Times New Roman" w:hAnsi="Times New Roman" w:cs="Times New Roman"/>
        </w:rPr>
        <w:t xml:space="preserve">improvement of the benefits granted in average to retired people during the last three years. </w:t>
      </w:r>
      <w:r w:rsidR="00D66A35">
        <w:rPr>
          <w:rFonts w:ascii="Times New Roman" w:hAnsi="Times New Roman" w:cs="Times New Roman"/>
        </w:rPr>
        <w:t xml:space="preserve">However, </w:t>
      </w:r>
      <w:r w:rsidRPr="00D66A35">
        <w:rPr>
          <w:rFonts w:ascii="Times New Roman" w:hAnsi="Times New Roman" w:cs="Times New Roman"/>
        </w:rPr>
        <w:t>t</w:t>
      </w:r>
      <w:r w:rsidR="00FD025A" w:rsidRPr="00D66A35">
        <w:rPr>
          <w:rFonts w:ascii="Times New Roman" w:hAnsi="Times New Roman" w:cs="Times New Roman"/>
        </w:rPr>
        <w:t xml:space="preserve">he public system </w:t>
      </w:r>
      <w:r w:rsidR="00D66A35">
        <w:rPr>
          <w:rFonts w:ascii="Times New Roman" w:hAnsi="Times New Roman" w:cs="Times New Roman"/>
        </w:rPr>
        <w:t xml:space="preserve">continues to depict </w:t>
      </w:r>
      <w:r w:rsidR="00FD025A" w:rsidRPr="00D66A35">
        <w:rPr>
          <w:rFonts w:ascii="Times New Roman" w:hAnsi="Times New Roman" w:cs="Times New Roman"/>
        </w:rPr>
        <w:t xml:space="preserve">tremendous discrepancies between low and high pension benefits. </w:t>
      </w:r>
      <w:r w:rsidR="000D586E" w:rsidRPr="00D66A35">
        <w:rPr>
          <w:rFonts w:ascii="Times New Roman" w:hAnsi="Times New Roman" w:cs="Times New Roman"/>
        </w:rPr>
        <w:t>Currently the system pays pensions ranging from less that RON 40 (EURO 8.2 at August 2012 exchange rate)</w:t>
      </w:r>
      <w:r w:rsidR="00102658" w:rsidRPr="00D66A35">
        <w:rPr>
          <w:rFonts w:ascii="Times New Roman" w:hAnsi="Times New Roman" w:cs="Times New Roman"/>
        </w:rPr>
        <w:t xml:space="preserve">, as well as </w:t>
      </w:r>
      <w:r w:rsidR="00102658" w:rsidRPr="00D66A35">
        <w:rPr>
          <w:rFonts w:ascii="Times New Roman" w:hAnsi="Times New Roman" w:cs="Times New Roman"/>
        </w:rPr>
        <w:lastRenderedPageBreak/>
        <w:t xml:space="preserve">exceptionally high pensions to about 3000 persons who receive in average RON 9034 (EURO </w:t>
      </w:r>
      <w:r w:rsidR="00E61DAB" w:rsidRPr="00D66A35">
        <w:rPr>
          <w:rFonts w:ascii="Times New Roman" w:hAnsi="Times New Roman" w:cs="Times New Roman"/>
        </w:rPr>
        <w:t xml:space="preserve">2007) </w:t>
      </w:r>
      <w:r w:rsidR="00102658" w:rsidRPr="00D66A35">
        <w:rPr>
          <w:rFonts w:ascii="Times New Roman" w:hAnsi="Times New Roman" w:cs="Times New Roman"/>
        </w:rPr>
        <w:t>per month (Zaman, 2012)</w:t>
      </w:r>
      <w:r w:rsidR="007C27C5" w:rsidRPr="00D66A35">
        <w:rPr>
          <w:rFonts w:ascii="Times New Roman" w:hAnsi="Times New Roman" w:cs="Times New Roman"/>
        </w:rPr>
        <w:t>, which is 10 times higher than the average old-age pension</w:t>
      </w:r>
      <w:r w:rsidR="00E61DAB" w:rsidRPr="00D66A35">
        <w:rPr>
          <w:rFonts w:ascii="Times New Roman" w:hAnsi="Times New Roman" w:cs="Times New Roman"/>
        </w:rPr>
        <w:t xml:space="preserve">. In October 2011, the </w:t>
      </w:r>
      <w:r w:rsidR="00590451" w:rsidRPr="00D66A35">
        <w:rPr>
          <w:rFonts w:ascii="Times New Roman" w:hAnsi="Times New Roman" w:cs="Times New Roman"/>
        </w:rPr>
        <w:t xml:space="preserve">total monthly pensions received by these 3000 </w:t>
      </w:r>
      <w:r w:rsidR="007C27C5" w:rsidRPr="00D66A35">
        <w:rPr>
          <w:rFonts w:ascii="Times New Roman" w:hAnsi="Times New Roman" w:cs="Times New Roman"/>
        </w:rPr>
        <w:t>retired persons</w:t>
      </w:r>
      <w:r w:rsidR="00590451" w:rsidRPr="00D66A35">
        <w:rPr>
          <w:rFonts w:ascii="Times New Roman" w:hAnsi="Times New Roman" w:cs="Times New Roman"/>
        </w:rPr>
        <w:t xml:space="preserve"> represented almost 50% of the total amount of social pensions granted to 620 thousand </w:t>
      </w:r>
      <w:r w:rsidR="007C27C5" w:rsidRPr="00D66A35">
        <w:rPr>
          <w:rFonts w:ascii="Times New Roman" w:hAnsi="Times New Roman" w:cs="Times New Roman"/>
        </w:rPr>
        <w:t>beneficiaries</w:t>
      </w:r>
      <w:r w:rsidR="00590451" w:rsidRPr="00D66A35">
        <w:rPr>
          <w:rFonts w:ascii="Times New Roman" w:hAnsi="Times New Roman" w:cs="Times New Roman"/>
        </w:rPr>
        <w:t xml:space="preserve">.  </w:t>
      </w:r>
      <w:r w:rsidR="00102658" w:rsidRPr="00D66A35">
        <w:rPr>
          <w:rFonts w:ascii="Times New Roman" w:hAnsi="Times New Roman" w:cs="Times New Roman"/>
        </w:rPr>
        <w:t xml:space="preserve"> </w:t>
      </w:r>
      <w:r w:rsidR="000D586E" w:rsidRPr="00D66A35">
        <w:rPr>
          <w:rFonts w:ascii="Times New Roman" w:hAnsi="Times New Roman" w:cs="Times New Roman"/>
        </w:rPr>
        <w:t xml:space="preserve">   </w:t>
      </w:r>
      <w:r w:rsidR="00FD025A" w:rsidRPr="00D66A35">
        <w:rPr>
          <w:rFonts w:ascii="Times New Roman" w:hAnsi="Times New Roman" w:cs="Times New Roman"/>
        </w:rPr>
        <w:t xml:space="preserve"> </w:t>
      </w:r>
    </w:p>
    <w:p w:rsidR="00D66A35" w:rsidRDefault="00D66A35" w:rsidP="00D66A35">
      <w:pPr>
        <w:spacing w:after="0"/>
        <w:jc w:val="both"/>
        <w:rPr>
          <w:rFonts w:ascii="Times New Roman" w:hAnsi="Times New Roman" w:cs="Times New Roman"/>
        </w:rPr>
      </w:pPr>
    </w:p>
    <w:p w:rsidR="00D66A35" w:rsidRPr="00D66A35" w:rsidRDefault="00D66A35" w:rsidP="00D66A35">
      <w:pPr>
        <w:spacing w:after="0"/>
        <w:jc w:val="center"/>
        <w:rPr>
          <w:rFonts w:ascii="Times New Roman" w:hAnsi="Times New Roman" w:cs="Times New Roman"/>
          <w:b/>
          <w:i/>
        </w:rPr>
      </w:pPr>
      <w:r>
        <w:rPr>
          <w:rFonts w:ascii="Times New Roman" w:hAnsi="Times New Roman" w:cs="Times New Roman"/>
          <w:b/>
          <w:i/>
        </w:rPr>
        <w:t>Figure 1</w:t>
      </w:r>
      <w:proofErr w:type="gramStart"/>
      <w:r>
        <w:rPr>
          <w:rFonts w:ascii="Times New Roman" w:hAnsi="Times New Roman" w:cs="Times New Roman"/>
          <w:b/>
          <w:i/>
        </w:rPr>
        <w:t>:Share</w:t>
      </w:r>
      <w:proofErr w:type="gramEnd"/>
      <w:r>
        <w:rPr>
          <w:rFonts w:ascii="Times New Roman" w:hAnsi="Times New Roman" w:cs="Times New Roman"/>
          <w:b/>
          <w:i/>
        </w:rPr>
        <w:t xml:space="preserve"> of average pension in the net average wage (%)</w:t>
      </w:r>
    </w:p>
    <w:p w:rsidR="00D66A35" w:rsidRPr="00D66A35" w:rsidRDefault="00D66A35" w:rsidP="00D66A35">
      <w:pPr>
        <w:spacing w:after="0"/>
        <w:jc w:val="both"/>
        <w:rPr>
          <w:rFonts w:ascii="Times New Roman" w:hAnsi="Times New Roman" w:cs="Times New Roman"/>
        </w:rPr>
      </w:pPr>
      <w:r w:rsidRPr="00D66A35">
        <w:rPr>
          <w:rFonts w:ascii="Times New Roman" w:hAnsi="Times New Roman" w:cs="Times New Roman"/>
        </w:rPr>
        <w:drawing>
          <wp:inline distT="0" distB="0" distL="0" distR="0">
            <wp:extent cx="5743575" cy="3333750"/>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0E6F" w:rsidRPr="004D6CAB" w:rsidRDefault="00620E6F" w:rsidP="00620E6F">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 Calculation based on data from</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National House of Pensions and Other Social Insurance Rights, </w:t>
      </w:r>
    </w:p>
    <w:p w:rsidR="00620E6F" w:rsidRDefault="00620E6F" w:rsidP="00620E6F">
      <w:pPr>
        <w:pStyle w:val="Flietext"/>
        <w:spacing w:before="0" w:line="276" w:lineRule="auto"/>
        <w:jc w:val="right"/>
        <w:rPr>
          <w:rFonts w:cs="Times New Roman"/>
          <w:sz w:val="20"/>
          <w:szCs w:val="20"/>
        </w:rPr>
      </w:pPr>
      <w:hyperlink r:id="rId9" w:history="1">
        <w:r w:rsidRPr="00620E6F">
          <w:rPr>
            <w:rStyle w:val="Lienhypertexte"/>
            <w:rFonts w:cs="Times New Roman"/>
            <w:color w:val="auto"/>
            <w:sz w:val="20"/>
            <w:szCs w:val="20"/>
          </w:rPr>
          <w:t>http://www.cnpas.org/portal/mediatype/html/language/ro/user/anon/page/default.psml/template/generic?url=%2Fcontent%2Fcnpas%2Fstatistics.html&amp;title=Indicatori+statistici+pilon+I</w:t>
        </w:r>
      </w:hyperlink>
    </w:p>
    <w:p w:rsidR="00D66A35" w:rsidRPr="00D66A35" w:rsidRDefault="00D66A35" w:rsidP="00620E6F">
      <w:pPr>
        <w:pStyle w:val="Flietext"/>
        <w:spacing w:before="0" w:line="276" w:lineRule="auto"/>
        <w:rPr>
          <w:i/>
        </w:rPr>
      </w:pPr>
      <w:r>
        <w:rPr>
          <w:i/>
        </w:rPr>
        <w:t xml:space="preserve"> </w:t>
      </w:r>
    </w:p>
    <w:p w:rsidR="005F53BD" w:rsidRDefault="00F6131D" w:rsidP="005F53BD">
      <w:pPr>
        <w:pStyle w:val="Flietext"/>
        <w:spacing w:before="0" w:line="276" w:lineRule="auto"/>
      </w:pPr>
      <w:r w:rsidRPr="004D6CAB">
        <w:t>Th</w:t>
      </w:r>
      <w:r w:rsidR="005F53BD" w:rsidRPr="004D6CAB">
        <w:t xml:space="preserve">e </w:t>
      </w:r>
      <w:r w:rsidR="00620E6F">
        <w:t>2010</w:t>
      </w:r>
      <w:r w:rsidR="005F53BD" w:rsidRPr="004D6CAB">
        <w:t xml:space="preserve"> reform was principally aimed at reducing the pension expenditures over medium and long run, such that the current deficit will be brought to manageable levels. </w:t>
      </w:r>
      <w:r w:rsidRPr="004D6CAB">
        <w:t xml:space="preserve">As a second important objective, the law was supposed to reduce the existing inequalities in terms of benefits. </w:t>
      </w:r>
      <w:r w:rsidR="005F53BD" w:rsidRPr="004D6CAB">
        <w:t>However, the mechanism adopted for recalculating the special pensions of military and police personnel</w:t>
      </w:r>
      <w:r w:rsidR="005A264D" w:rsidRPr="004D6CAB">
        <w:t xml:space="preserve"> ended up with an increase of </w:t>
      </w:r>
      <w:r w:rsidR="005F53BD" w:rsidRPr="004D6CAB">
        <w:t xml:space="preserve">the average monthly pension of this category from RON 1755 to RON 2289. Overall, the recalculation </w:t>
      </w:r>
      <w:r w:rsidR="005A264D" w:rsidRPr="004D6CAB">
        <w:t>led to</w:t>
      </w:r>
      <w:r w:rsidR="005F53BD" w:rsidRPr="004D6CAB">
        <w:t xml:space="preserve"> about RON 1 billion additional spending for 2012. Designed to reduce the gap between the average benefit of special regimes and the average social insurance pension, the recalculation widened actually the differences: while the 2012 budget for social insurance pensions increased by only 0.5%, the budget allocated to the military pensioners augmented by 9%, and that of former police and secret service employees by 5 and respectively 6% (Zaman, 2012). </w:t>
      </w:r>
    </w:p>
    <w:p w:rsidR="00FB2503" w:rsidRPr="004D6CAB" w:rsidRDefault="00FB2503" w:rsidP="005F53BD">
      <w:pPr>
        <w:pStyle w:val="Flietext"/>
        <w:spacing w:before="0" w:line="276" w:lineRule="auto"/>
      </w:pPr>
      <w:r w:rsidRPr="004D6CAB">
        <w:t xml:space="preserve">As Figure </w:t>
      </w:r>
      <w:r>
        <w:t>2</w:t>
      </w:r>
      <w:r w:rsidRPr="004D6CAB">
        <w:t xml:space="preserve"> shows, the distribution of pensioners shifted towards higher benefits. In fact, the number of persons receiving very low pensions (below RON 100 – EURO 22) increased by 10%, with the highest increase (23%) being recorded for the lowest pensions (less than RON 40). In case of low to medium pensions (between RON 41 and 900) the number of beneficiaries declined by 6.4% as a result of recalculation. An increase of the number of recipients is observed for medium to high pension benefits (above RON 901), in average by </w:t>
      </w:r>
      <w:r w:rsidRPr="004D6CAB">
        <w:lastRenderedPageBreak/>
        <w:t>12.73% - with the highest increase recorded in case of pensions above RON 5000 (32.14%). The total number of beneficiaries entitled to a social pension, which is granted if the effective benefit falls below the RON 350 threshold, declined by 3.11%.</w:t>
      </w:r>
    </w:p>
    <w:p w:rsidR="003E756B" w:rsidRPr="004D6CAB" w:rsidRDefault="003E756B" w:rsidP="003E756B">
      <w:pPr>
        <w:spacing w:after="0"/>
        <w:jc w:val="center"/>
        <w:rPr>
          <w:rFonts w:ascii="Times New Roman" w:hAnsi="Times New Roman" w:cs="Times New Roman"/>
          <w:b/>
          <w:i/>
        </w:rPr>
      </w:pPr>
    </w:p>
    <w:p w:rsidR="00FB2503" w:rsidRDefault="003E756B" w:rsidP="003E756B">
      <w:pPr>
        <w:spacing w:after="0"/>
        <w:jc w:val="center"/>
        <w:rPr>
          <w:rFonts w:ascii="Times New Roman" w:hAnsi="Times New Roman" w:cs="Times New Roman"/>
          <w:b/>
          <w:i/>
        </w:rPr>
      </w:pPr>
      <w:r w:rsidRPr="004D6CAB">
        <w:rPr>
          <w:rFonts w:ascii="Times New Roman" w:hAnsi="Times New Roman" w:cs="Times New Roman"/>
          <w:b/>
          <w:i/>
        </w:rPr>
        <w:t xml:space="preserve">Figure </w:t>
      </w:r>
      <w:r w:rsidR="00FB2503">
        <w:rPr>
          <w:rFonts w:ascii="Times New Roman" w:hAnsi="Times New Roman" w:cs="Times New Roman"/>
          <w:b/>
          <w:i/>
        </w:rPr>
        <w:t>2</w:t>
      </w:r>
      <w:r w:rsidRPr="004D6CAB">
        <w:rPr>
          <w:rFonts w:ascii="Times New Roman" w:hAnsi="Times New Roman" w:cs="Times New Roman"/>
          <w:b/>
          <w:i/>
        </w:rPr>
        <w:t>: Distribution of pensioners before (Jan</w:t>
      </w:r>
      <w:r w:rsidR="00FB2503">
        <w:rPr>
          <w:rFonts w:ascii="Times New Roman" w:hAnsi="Times New Roman" w:cs="Times New Roman"/>
          <w:b/>
          <w:i/>
        </w:rPr>
        <w:t xml:space="preserve">uary </w:t>
      </w:r>
      <w:r w:rsidRPr="004D6CAB">
        <w:rPr>
          <w:rFonts w:ascii="Times New Roman" w:hAnsi="Times New Roman" w:cs="Times New Roman"/>
          <w:b/>
          <w:i/>
        </w:rPr>
        <w:t>2011 – J11)</w:t>
      </w:r>
    </w:p>
    <w:p w:rsidR="003E756B" w:rsidRPr="004D6CAB" w:rsidRDefault="003E756B" w:rsidP="003E756B">
      <w:pPr>
        <w:spacing w:after="0"/>
        <w:jc w:val="center"/>
        <w:rPr>
          <w:rFonts w:ascii="Times New Roman" w:hAnsi="Times New Roman" w:cs="Times New Roman"/>
          <w:b/>
          <w:i/>
        </w:rPr>
      </w:pPr>
      <w:proofErr w:type="gramStart"/>
      <w:r w:rsidRPr="004D6CAB">
        <w:rPr>
          <w:rFonts w:ascii="Times New Roman" w:hAnsi="Times New Roman" w:cs="Times New Roman"/>
          <w:b/>
          <w:i/>
        </w:rPr>
        <w:t>and</w:t>
      </w:r>
      <w:proofErr w:type="gramEnd"/>
      <w:r w:rsidRPr="004D6CAB">
        <w:rPr>
          <w:rFonts w:ascii="Times New Roman" w:hAnsi="Times New Roman" w:cs="Times New Roman"/>
          <w:b/>
          <w:i/>
        </w:rPr>
        <w:t xml:space="preserve"> after (Jan</w:t>
      </w:r>
      <w:r w:rsidR="00FB2503">
        <w:rPr>
          <w:rFonts w:ascii="Times New Roman" w:hAnsi="Times New Roman" w:cs="Times New Roman"/>
          <w:b/>
          <w:i/>
        </w:rPr>
        <w:t>uary</w:t>
      </w:r>
      <w:r w:rsidRPr="004D6CAB">
        <w:rPr>
          <w:rFonts w:ascii="Times New Roman" w:hAnsi="Times New Roman" w:cs="Times New Roman"/>
          <w:b/>
          <w:i/>
        </w:rPr>
        <w:t xml:space="preserve"> 2012 – J12) recalculation</w:t>
      </w:r>
    </w:p>
    <w:p w:rsidR="003E756B" w:rsidRPr="004D6CAB" w:rsidRDefault="003E756B" w:rsidP="003E756B">
      <w:pPr>
        <w:spacing w:after="0"/>
        <w:jc w:val="both"/>
        <w:rPr>
          <w:rFonts w:ascii="Times New Roman" w:hAnsi="Times New Roman" w:cs="Times New Roman"/>
          <w:b/>
          <w:i/>
        </w:rPr>
      </w:pPr>
      <w:r w:rsidRPr="004D6CAB">
        <w:rPr>
          <w:rFonts w:ascii="Times New Roman" w:hAnsi="Times New Roman" w:cs="Times New Roman"/>
          <w:b/>
          <w:i/>
          <w:noProof/>
          <w:lang w:val="fr-FR" w:eastAsia="fr-FR"/>
        </w:rPr>
        <w:drawing>
          <wp:inline distT="0" distB="0" distL="0" distR="0">
            <wp:extent cx="5760720" cy="3943350"/>
            <wp:effectExtent l="19050" t="0" r="1143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756B" w:rsidRPr="004D6CAB" w:rsidRDefault="003E756B" w:rsidP="003E756B">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 Calculation based on data from</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National House of Pensions and Other Social Insurance Rights, </w:t>
      </w:r>
    </w:p>
    <w:p w:rsidR="003E756B" w:rsidRPr="00620E6F" w:rsidRDefault="00E83AEE" w:rsidP="003E756B">
      <w:pPr>
        <w:spacing w:after="0"/>
        <w:jc w:val="right"/>
        <w:rPr>
          <w:rFonts w:ascii="Times New Roman" w:hAnsi="Times New Roman" w:cs="Times New Roman"/>
          <w:b/>
          <w:i/>
          <w:sz w:val="20"/>
          <w:szCs w:val="20"/>
        </w:rPr>
      </w:pPr>
      <w:hyperlink r:id="rId11" w:history="1">
        <w:r w:rsidR="003E756B" w:rsidRPr="00620E6F">
          <w:rPr>
            <w:rStyle w:val="Lienhypertexte"/>
            <w:rFonts w:ascii="Times New Roman" w:hAnsi="Times New Roman" w:cs="Times New Roman"/>
            <w:color w:val="auto"/>
            <w:sz w:val="20"/>
            <w:szCs w:val="20"/>
          </w:rPr>
          <w:t>http://www.cnpas.org/portal/mediatype/html/language/ro/user/anon/page/default.psml/template/generic?url=%2Fcontent%2Fcnpas%2Fstatistics.html&amp;title=Indicatori+statistici+pilon+I</w:t>
        </w:r>
      </w:hyperlink>
      <w:r w:rsidR="00620E6F">
        <w:rPr>
          <w:rFonts w:ascii="Times New Roman" w:hAnsi="Times New Roman" w:cs="Times New Roman"/>
          <w:sz w:val="20"/>
          <w:szCs w:val="20"/>
        </w:rPr>
        <w:t xml:space="preserve"> </w:t>
      </w:r>
    </w:p>
    <w:p w:rsidR="00F978BF" w:rsidRPr="004D6CAB" w:rsidRDefault="00F978BF" w:rsidP="005F53BD">
      <w:pPr>
        <w:pStyle w:val="Flietext"/>
        <w:spacing w:before="0" w:line="276" w:lineRule="auto"/>
      </w:pPr>
    </w:p>
    <w:p w:rsidR="00E157AF" w:rsidRPr="004D6CAB" w:rsidRDefault="00F978BF" w:rsidP="00F978BF">
      <w:pPr>
        <w:spacing w:after="0"/>
        <w:jc w:val="both"/>
        <w:rPr>
          <w:rFonts w:ascii="Times New Roman" w:hAnsi="Times New Roman" w:cs="Times New Roman"/>
        </w:rPr>
      </w:pPr>
      <w:r w:rsidRPr="004D6CAB">
        <w:rPr>
          <w:rFonts w:ascii="Times New Roman" w:hAnsi="Times New Roman" w:cs="Times New Roman"/>
        </w:rPr>
        <w:t xml:space="preserve">It is interesting to note that the distribution depicted in Figure </w:t>
      </w:r>
      <w:r w:rsidR="00BA661B">
        <w:rPr>
          <w:rFonts w:ascii="Times New Roman" w:hAnsi="Times New Roman" w:cs="Times New Roman"/>
        </w:rPr>
        <w:t>2</w:t>
      </w:r>
      <w:r w:rsidRPr="004D6CAB">
        <w:rPr>
          <w:rFonts w:ascii="Times New Roman" w:hAnsi="Times New Roman" w:cs="Times New Roman"/>
        </w:rPr>
        <w:t xml:space="preserve"> has t</w:t>
      </w:r>
      <w:r w:rsidR="00157766" w:rsidRPr="004D6CAB">
        <w:rPr>
          <w:rFonts w:ascii="Times New Roman" w:hAnsi="Times New Roman" w:cs="Times New Roman"/>
        </w:rPr>
        <w:t>hree</w:t>
      </w:r>
      <w:r w:rsidRPr="004D6CAB">
        <w:rPr>
          <w:rFonts w:ascii="Times New Roman" w:hAnsi="Times New Roman" w:cs="Times New Roman"/>
        </w:rPr>
        <w:t xml:space="preserve"> picks. The first one corresponds to the pension interval 601-700</w:t>
      </w:r>
      <w:r w:rsidR="00157766" w:rsidRPr="004D6CAB">
        <w:rPr>
          <w:rFonts w:ascii="Times New Roman" w:hAnsi="Times New Roman" w:cs="Times New Roman"/>
        </w:rPr>
        <w:t xml:space="preserve">, which is very close to the average amount of social insurance pension. The second pick is observed for the interval </w:t>
      </w:r>
      <w:r w:rsidR="009D624F" w:rsidRPr="004D6CAB">
        <w:rPr>
          <w:rFonts w:ascii="Times New Roman" w:hAnsi="Times New Roman" w:cs="Times New Roman"/>
        </w:rPr>
        <w:t>801 – 900, which corresponds practically to the average old-age pension. The third (</w:t>
      </w:r>
      <w:r w:rsidR="00157766" w:rsidRPr="004D6CAB">
        <w:rPr>
          <w:rFonts w:ascii="Times New Roman" w:hAnsi="Times New Roman" w:cs="Times New Roman"/>
        </w:rPr>
        <w:t>1001 – 1500</w:t>
      </w:r>
      <w:r w:rsidR="009D624F" w:rsidRPr="004D6CAB">
        <w:rPr>
          <w:rFonts w:ascii="Times New Roman" w:hAnsi="Times New Roman" w:cs="Times New Roman"/>
        </w:rPr>
        <w:t xml:space="preserve">) is associated with the average benefit </w:t>
      </w:r>
      <w:r w:rsidR="00BC0055" w:rsidRPr="004D6CAB">
        <w:rPr>
          <w:rFonts w:ascii="Times New Roman" w:hAnsi="Times New Roman" w:cs="Times New Roman"/>
        </w:rPr>
        <w:t xml:space="preserve">paid to the pensioners belonging to the </w:t>
      </w:r>
      <w:r w:rsidR="009D624F" w:rsidRPr="004D6CAB">
        <w:rPr>
          <w:rFonts w:ascii="Times New Roman" w:hAnsi="Times New Roman" w:cs="Times New Roman"/>
        </w:rPr>
        <w:t>special regime</w:t>
      </w:r>
      <w:r w:rsidR="00BC0055" w:rsidRPr="004D6CAB">
        <w:rPr>
          <w:rFonts w:ascii="Times New Roman" w:hAnsi="Times New Roman" w:cs="Times New Roman"/>
        </w:rPr>
        <w:t xml:space="preserve">. </w:t>
      </w:r>
    </w:p>
    <w:p w:rsidR="00B82298" w:rsidRDefault="00BC0055" w:rsidP="00F978BF">
      <w:pPr>
        <w:spacing w:after="0"/>
        <w:jc w:val="both"/>
        <w:rPr>
          <w:rFonts w:ascii="Times New Roman" w:hAnsi="Times New Roman" w:cs="Times New Roman"/>
        </w:rPr>
      </w:pPr>
      <w:r w:rsidRPr="004D6CAB">
        <w:rPr>
          <w:rFonts w:ascii="Times New Roman" w:hAnsi="Times New Roman" w:cs="Times New Roman"/>
        </w:rPr>
        <w:t xml:space="preserve">There is therefore a segregated distribution of pension beneficiaries in Romania. </w:t>
      </w:r>
      <w:r w:rsidR="007175CF" w:rsidRPr="004D6CAB">
        <w:rPr>
          <w:rFonts w:ascii="Times New Roman" w:hAnsi="Times New Roman" w:cs="Times New Roman"/>
        </w:rPr>
        <w:t xml:space="preserve">Although 45.7% of total number of pensioners is concentrated within the interval </w:t>
      </w:r>
      <w:r w:rsidR="00527B22" w:rsidRPr="004D6CAB">
        <w:rPr>
          <w:rFonts w:ascii="Times New Roman" w:hAnsi="Times New Roman" w:cs="Times New Roman"/>
        </w:rPr>
        <w:t>around the average benefit (</w:t>
      </w:r>
      <w:r w:rsidR="007175CF" w:rsidRPr="004D6CAB">
        <w:rPr>
          <w:rFonts w:ascii="Times New Roman" w:hAnsi="Times New Roman" w:cs="Times New Roman"/>
        </w:rPr>
        <w:t>RON 501-1000</w:t>
      </w:r>
      <w:r w:rsidR="00527B22" w:rsidRPr="004D6CAB">
        <w:rPr>
          <w:rFonts w:ascii="Times New Roman" w:hAnsi="Times New Roman" w:cs="Times New Roman"/>
        </w:rPr>
        <w:t xml:space="preserve">), </w:t>
      </w:r>
      <w:r w:rsidR="00EC3FE5" w:rsidRPr="004D6CAB">
        <w:rPr>
          <w:rFonts w:ascii="Times New Roman" w:hAnsi="Times New Roman" w:cs="Times New Roman"/>
        </w:rPr>
        <w:t>there are two extreme categories of beneficiaries. The first one groups very low pensions (below RON 400) and represents 18% of the total number of beneficiaries</w:t>
      </w:r>
      <w:r w:rsidR="00E157AF" w:rsidRPr="004D6CAB">
        <w:rPr>
          <w:rFonts w:ascii="Times New Roman" w:hAnsi="Times New Roman" w:cs="Times New Roman"/>
        </w:rPr>
        <w:t xml:space="preserve"> (Figure </w:t>
      </w:r>
      <w:r w:rsidR="000F4E44" w:rsidRPr="004D6CAB">
        <w:rPr>
          <w:rFonts w:ascii="Times New Roman" w:hAnsi="Times New Roman" w:cs="Times New Roman"/>
        </w:rPr>
        <w:t>2)</w:t>
      </w:r>
      <w:r w:rsidR="00EC3FE5" w:rsidRPr="004D6CAB">
        <w:rPr>
          <w:rFonts w:ascii="Times New Roman" w:hAnsi="Times New Roman" w:cs="Times New Roman"/>
        </w:rPr>
        <w:t>. This category is mainly composed of retired farmers, disability pensioners</w:t>
      </w:r>
      <w:r w:rsidR="00E157AF" w:rsidRPr="004D6CAB">
        <w:rPr>
          <w:rFonts w:ascii="Times New Roman" w:hAnsi="Times New Roman" w:cs="Times New Roman"/>
        </w:rPr>
        <w:t xml:space="preserve"> and early retired persons. </w:t>
      </w:r>
      <w:r w:rsidR="004A090A" w:rsidRPr="004D6CAB">
        <w:rPr>
          <w:rFonts w:ascii="Times New Roman" w:hAnsi="Times New Roman" w:cs="Times New Roman"/>
        </w:rPr>
        <w:t xml:space="preserve">Despite several attempts to solve the problem of farmers, who do not pay social contributions, the </w:t>
      </w:r>
      <w:r w:rsidR="00C53E03" w:rsidRPr="004D6CAB">
        <w:rPr>
          <w:rFonts w:ascii="Times New Roman" w:hAnsi="Times New Roman" w:cs="Times New Roman"/>
        </w:rPr>
        <w:t xml:space="preserve">successive </w:t>
      </w:r>
      <w:r w:rsidR="004A090A" w:rsidRPr="004D6CAB">
        <w:rPr>
          <w:rFonts w:ascii="Times New Roman" w:hAnsi="Times New Roman" w:cs="Times New Roman"/>
        </w:rPr>
        <w:t xml:space="preserve">Romanian </w:t>
      </w:r>
      <w:r w:rsidR="00C53E03" w:rsidRPr="004D6CAB">
        <w:rPr>
          <w:rFonts w:ascii="Times New Roman" w:hAnsi="Times New Roman" w:cs="Times New Roman"/>
        </w:rPr>
        <w:t>governments</w:t>
      </w:r>
      <w:r w:rsidR="004A090A" w:rsidRPr="004D6CAB">
        <w:rPr>
          <w:rFonts w:ascii="Times New Roman" w:hAnsi="Times New Roman" w:cs="Times New Roman"/>
        </w:rPr>
        <w:t xml:space="preserve"> failed to find a solution. This category is therefore granted very low pensions from the state budget</w:t>
      </w:r>
      <w:r w:rsidR="00922A9A" w:rsidRPr="004D6CAB">
        <w:rPr>
          <w:rFonts w:ascii="Times New Roman" w:hAnsi="Times New Roman" w:cs="Times New Roman"/>
        </w:rPr>
        <w:t>, usually accompanied by a social pension. The number of disability pensioners</w:t>
      </w:r>
      <w:r w:rsidR="004A090A" w:rsidRPr="004D6CAB">
        <w:rPr>
          <w:rFonts w:ascii="Times New Roman" w:hAnsi="Times New Roman" w:cs="Times New Roman"/>
        </w:rPr>
        <w:t xml:space="preserve"> </w:t>
      </w:r>
      <w:r w:rsidR="00922A9A" w:rsidRPr="004D6CAB">
        <w:rPr>
          <w:rFonts w:ascii="Times New Roman" w:hAnsi="Times New Roman" w:cs="Times New Roman"/>
        </w:rPr>
        <w:t xml:space="preserve">has increased tremendously over the transition period, although a significant share of them obtained this </w:t>
      </w:r>
      <w:r w:rsidR="00922A9A" w:rsidRPr="004D6CAB">
        <w:rPr>
          <w:rFonts w:ascii="Times New Roman" w:hAnsi="Times New Roman" w:cs="Times New Roman"/>
        </w:rPr>
        <w:lastRenderedPageBreak/>
        <w:t xml:space="preserve">status by bribing the corrupted medical system. </w:t>
      </w:r>
      <w:r w:rsidR="00DD672E" w:rsidRPr="004D6CAB">
        <w:rPr>
          <w:rFonts w:ascii="Times New Roman" w:hAnsi="Times New Roman" w:cs="Times New Roman"/>
        </w:rPr>
        <w:t xml:space="preserve">For many such false disability pensioners this represented an alternative to unemployment during the difficult times of transition. Early retirement has been encouraged for many years by the government in order to </w:t>
      </w:r>
      <w:r w:rsidR="00B82298" w:rsidRPr="004D6CAB">
        <w:rPr>
          <w:rFonts w:ascii="Times New Roman" w:hAnsi="Times New Roman" w:cs="Times New Roman"/>
        </w:rPr>
        <w:t>cope with the labour hoarding phenomenon in state owned companies; in spite of much more restrictive conditions for early retirement, this practice remains a better alternative to unemployment for a part of senior workers who do not find jobs.</w:t>
      </w:r>
    </w:p>
    <w:p w:rsidR="00BA661B" w:rsidRPr="004D6CAB" w:rsidRDefault="00BA661B" w:rsidP="00F978BF">
      <w:pPr>
        <w:spacing w:after="0"/>
        <w:jc w:val="both"/>
        <w:rPr>
          <w:rFonts w:ascii="Times New Roman" w:hAnsi="Times New Roman" w:cs="Times New Roman"/>
        </w:rPr>
      </w:pPr>
      <w:r w:rsidRPr="004D6CAB">
        <w:rPr>
          <w:rFonts w:ascii="Times New Roman" w:hAnsi="Times New Roman" w:cs="Times New Roman"/>
        </w:rPr>
        <w:t xml:space="preserve">The second extreme category of pensioners is represented by the privileged professions grouped under the “special regime” scheme. They benefit from relatively high pensions (above RON 2000), but their share in total is just 4% (Figure </w:t>
      </w:r>
      <w:r>
        <w:rPr>
          <w:rFonts w:ascii="Times New Roman" w:hAnsi="Times New Roman" w:cs="Times New Roman"/>
        </w:rPr>
        <w:t>3</w:t>
      </w:r>
      <w:r w:rsidRPr="004D6CAB">
        <w:rPr>
          <w:rFonts w:ascii="Times New Roman" w:hAnsi="Times New Roman" w:cs="Times New Roman"/>
        </w:rPr>
        <w:t xml:space="preserve">) </w:t>
      </w:r>
      <w:r w:rsidR="009952C8">
        <w:rPr>
          <w:rFonts w:ascii="Times New Roman" w:hAnsi="Times New Roman" w:cs="Times New Roman"/>
        </w:rPr>
        <w:t xml:space="preserve">while </w:t>
      </w:r>
      <w:r w:rsidRPr="004D6CAB">
        <w:rPr>
          <w:rFonts w:ascii="Times New Roman" w:hAnsi="Times New Roman" w:cs="Times New Roman"/>
        </w:rPr>
        <w:t>receiv</w:t>
      </w:r>
      <w:r w:rsidR="009952C8">
        <w:rPr>
          <w:rFonts w:ascii="Times New Roman" w:hAnsi="Times New Roman" w:cs="Times New Roman"/>
        </w:rPr>
        <w:t>ing</w:t>
      </w:r>
      <w:r w:rsidRPr="004D6CAB">
        <w:rPr>
          <w:rFonts w:ascii="Times New Roman" w:hAnsi="Times New Roman" w:cs="Times New Roman"/>
        </w:rPr>
        <w:t xml:space="preserve"> 13.52% of the total pension fund. </w:t>
      </w:r>
      <w:r w:rsidR="00885660">
        <w:rPr>
          <w:rFonts w:ascii="Times New Roman" w:hAnsi="Times New Roman" w:cs="Times New Roman"/>
        </w:rPr>
        <w:t>T</w:t>
      </w:r>
      <w:r w:rsidRPr="004D6CAB">
        <w:rPr>
          <w:rFonts w:ascii="Times New Roman" w:hAnsi="Times New Roman" w:cs="Times New Roman"/>
        </w:rPr>
        <w:t xml:space="preserve">his amount is 3.5 times higher than the cumulated pensions of those benefiting from a social pension, whose proportion in the total number of pensioners accounts for 12.76%.    </w:t>
      </w:r>
    </w:p>
    <w:p w:rsidR="00E761D2" w:rsidRPr="004D6CAB" w:rsidRDefault="00E761D2" w:rsidP="00F978BF">
      <w:pPr>
        <w:spacing w:after="0"/>
        <w:jc w:val="both"/>
        <w:rPr>
          <w:rFonts w:ascii="Times New Roman" w:hAnsi="Times New Roman" w:cs="Times New Roman"/>
        </w:rPr>
      </w:pPr>
    </w:p>
    <w:p w:rsidR="00E761D2" w:rsidRPr="004D6CAB" w:rsidRDefault="00E761D2" w:rsidP="00366715">
      <w:pPr>
        <w:spacing w:after="0"/>
        <w:jc w:val="center"/>
        <w:rPr>
          <w:rFonts w:ascii="Times New Roman" w:hAnsi="Times New Roman" w:cs="Times New Roman"/>
          <w:b/>
          <w:i/>
        </w:rPr>
      </w:pPr>
      <w:r w:rsidRPr="004D6CAB">
        <w:rPr>
          <w:rFonts w:ascii="Times New Roman" w:hAnsi="Times New Roman" w:cs="Times New Roman"/>
          <w:b/>
          <w:i/>
        </w:rPr>
        <w:t xml:space="preserve">Figure </w:t>
      </w:r>
      <w:r w:rsidR="00BA661B">
        <w:rPr>
          <w:rFonts w:ascii="Times New Roman" w:hAnsi="Times New Roman" w:cs="Times New Roman"/>
          <w:b/>
          <w:i/>
        </w:rPr>
        <w:t>3</w:t>
      </w:r>
      <w:r w:rsidRPr="004D6CAB">
        <w:rPr>
          <w:rFonts w:ascii="Times New Roman" w:hAnsi="Times New Roman" w:cs="Times New Roman"/>
          <w:b/>
          <w:i/>
        </w:rPr>
        <w:t>: Distribution of beneficiaries by main pension intervals (January 2012)</w:t>
      </w:r>
    </w:p>
    <w:p w:rsidR="00E761D2" w:rsidRPr="004D6CAB" w:rsidRDefault="00E761D2" w:rsidP="00E761D2">
      <w:pPr>
        <w:spacing w:after="0"/>
        <w:jc w:val="center"/>
        <w:rPr>
          <w:rFonts w:ascii="Times New Roman" w:hAnsi="Times New Roman" w:cs="Times New Roman"/>
          <w:b/>
          <w:i/>
        </w:rPr>
      </w:pPr>
      <w:r w:rsidRPr="004D6CAB">
        <w:rPr>
          <w:rFonts w:ascii="Times New Roman" w:hAnsi="Times New Roman" w:cs="Times New Roman"/>
          <w:b/>
          <w:i/>
          <w:noProof/>
          <w:lang w:val="fr-FR" w:eastAsia="fr-FR"/>
        </w:rPr>
        <w:drawing>
          <wp:inline distT="0" distB="0" distL="0" distR="0">
            <wp:extent cx="3076575" cy="2657475"/>
            <wp:effectExtent l="19050" t="0" r="9525"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61D2" w:rsidRPr="004D6CAB" w:rsidRDefault="00E761D2" w:rsidP="00E761D2">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calculations based on data from National House of Pensions and Other Social Insurance Rights, </w:t>
      </w:r>
    </w:p>
    <w:p w:rsidR="00E761D2" w:rsidRPr="00BA661B" w:rsidRDefault="00E83AEE" w:rsidP="00E761D2">
      <w:pPr>
        <w:spacing w:after="0"/>
        <w:jc w:val="right"/>
        <w:rPr>
          <w:rFonts w:ascii="Times New Roman" w:hAnsi="Times New Roman" w:cs="Times New Roman"/>
          <w:i/>
          <w:sz w:val="20"/>
          <w:szCs w:val="20"/>
        </w:rPr>
      </w:pPr>
      <w:hyperlink r:id="rId13" w:history="1">
        <w:r w:rsidR="00E761D2" w:rsidRPr="00BA661B">
          <w:rPr>
            <w:rStyle w:val="Lienhypertexte"/>
            <w:rFonts w:ascii="Times New Roman" w:hAnsi="Times New Roman" w:cs="Times New Roman"/>
            <w:color w:val="auto"/>
            <w:sz w:val="20"/>
            <w:szCs w:val="20"/>
          </w:rPr>
          <w:t>http://www.cnpas.org/portal/mediatype/html/language/ro/user/anon/page/default.psml/template/generic?url=%2Fcontent%2Fcnpas%2Fstatistics.html&amp;title=Indicatori+statistici+pilon+I</w:t>
        </w:r>
      </w:hyperlink>
    </w:p>
    <w:p w:rsidR="00E761D2" w:rsidRPr="004D6CAB" w:rsidRDefault="00E761D2" w:rsidP="00E761D2">
      <w:pPr>
        <w:spacing w:after="0"/>
        <w:jc w:val="both"/>
        <w:rPr>
          <w:rFonts w:ascii="Times New Roman" w:hAnsi="Times New Roman" w:cs="Times New Roman"/>
          <w:b/>
          <w:i/>
        </w:rPr>
      </w:pPr>
    </w:p>
    <w:p w:rsidR="00F66E8B" w:rsidRPr="004D6CAB" w:rsidRDefault="00F66E8B" w:rsidP="008936BD">
      <w:pPr>
        <w:spacing w:after="0"/>
        <w:jc w:val="both"/>
        <w:rPr>
          <w:rFonts w:ascii="Times New Roman" w:hAnsi="Times New Roman" w:cs="Times New Roman"/>
        </w:rPr>
      </w:pPr>
      <w:r w:rsidRPr="004D6CAB">
        <w:rPr>
          <w:rFonts w:ascii="Times New Roman" w:hAnsi="Times New Roman" w:cs="Times New Roman"/>
        </w:rPr>
        <w:t xml:space="preserve">If compared to the pension point value (RON 732 in June 2012), </w:t>
      </w:r>
      <w:r w:rsidR="00E03A34" w:rsidRPr="004D6CAB">
        <w:rPr>
          <w:rFonts w:ascii="Times New Roman" w:hAnsi="Times New Roman" w:cs="Times New Roman"/>
        </w:rPr>
        <w:t>which is the reference for calculating the effective benefits, 59.15% of retired persons receive up to this amount. When considering the average net wage in the economy (RON 1552 in June 2012), 14% of retired</w:t>
      </w:r>
      <w:r w:rsidR="009952C8">
        <w:rPr>
          <w:rFonts w:ascii="Times New Roman" w:hAnsi="Times New Roman" w:cs="Times New Roman"/>
        </w:rPr>
        <w:t xml:space="preserve"> persons</w:t>
      </w:r>
      <w:r w:rsidR="00E03A34" w:rsidRPr="004D6CAB">
        <w:rPr>
          <w:rFonts w:ascii="Times New Roman" w:hAnsi="Times New Roman" w:cs="Times New Roman"/>
        </w:rPr>
        <w:t xml:space="preserve"> benefit from a pension that is higher than this monthly average salary. </w:t>
      </w:r>
      <w:r w:rsidR="00250C8D" w:rsidRPr="004D6CAB">
        <w:rPr>
          <w:rFonts w:ascii="Times New Roman" w:hAnsi="Times New Roman" w:cs="Times New Roman"/>
        </w:rPr>
        <w:t xml:space="preserve">Since by law the objective set by the government is to ensure an average pension benefit equivalent to 45% of the average wage, which represents RON 698 in June 2012, it follows that </w:t>
      </w:r>
      <w:r w:rsidR="0084236B" w:rsidRPr="004D6CAB">
        <w:rPr>
          <w:rFonts w:ascii="Times New Roman" w:hAnsi="Times New Roman" w:cs="Times New Roman"/>
        </w:rPr>
        <w:t>only 46.3</w:t>
      </w:r>
      <w:r w:rsidR="00250C8D" w:rsidRPr="004D6CAB">
        <w:rPr>
          <w:rFonts w:ascii="Times New Roman" w:hAnsi="Times New Roman" w:cs="Times New Roman"/>
        </w:rPr>
        <w:t xml:space="preserve">% of the total number of </w:t>
      </w:r>
      <w:r w:rsidR="00BF7853" w:rsidRPr="004D6CAB">
        <w:rPr>
          <w:rFonts w:ascii="Times New Roman" w:hAnsi="Times New Roman" w:cs="Times New Roman"/>
        </w:rPr>
        <w:t>pensioners receive</w:t>
      </w:r>
      <w:r w:rsidR="0084236B" w:rsidRPr="004D6CAB">
        <w:rPr>
          <w:rFonts w:ascii="Times New Roman" w:hAnsi="Times New Roman" w:cs="Times New Roman"/>
        </w:rPr>
        <w:t>s</w:t>
      </w:r>
      <w:r w:rsidR="00BF7853" w:rsidRPr="004D6CAB">
        <w:rPr>
          <w:rFonts w:ascii="Times New Roman" w:hAnsi="Times New Roman" w:cs="Times New Roman"/>
        </w:rPr>
        <w:t xml:space="preserve"> </w:t>
      </w:r>
      <w:r w:rsidR="0084236B" w:rsidRPr="004D6CAB">
        <w:rPr>
          <w:rFonts w:ascii="Times New Roman" w:hAnsi="Times New Roman" w:cs="Times New Roman"/>
        </w:rPr>
        <w:t xml:space="preserve">a benefit that is superior to </w:t>
      </w:r>
      <w:r w:rsidR="00BF7853" w:rsidRPr="004D6CAB">
        <w:rPr>
          <w:rFonts w:ascii="Times New Roman" w:hAnsi="Times New Roman" w:cs="Times New Roman"/>
        </w:rPr>
        <w:t xml:space="preserve">this </w:t>
      </w:r>
      <w:r w:rsidR="0084236B" w:rsidRPr="004D6CAB">
        <w:rPr>
          <w:rFonts w:ascii="Times New Roman" w:hAnsi="Times New Roman" w:cs="Times New Roman"/>
        </w:rPr>
        <w:t xml:space="preserve">threshold. </w:t>
      </w:r>
      <w:r w:rsidR="00BF7853" w:rsidRPr="004D6CAB">
        <w:rPr>
          <w:rFonts w:ascii="Times New Roman" w:hAnsi="Times New Roman" w:cs="Times New Roman"/>
        </w:rPr>
        <w:t xml:space="preserve"> </w:t>
      </w:r>
      <w:r w:rsidR="00250C8D" w:rsidRPr="004D6CAB">
        <w:rPr>
          <w:rFonts w:ascii="Times New Roman" w:hAnsi="Times New Roman" w:cs="Times New Roman"/>
        </w:rPr>
        <w:t xml:space="preserve"> </w:t>
      </w:r>
    </w:p>
    <w:p w:rsidR="00411C5E" w:rsidRPr="004D6CAB" w:rsidRDefault="00411C5E" w:rsidP="008936BD">
      <w:pPr>
        <w:spacing w:after="0"/>
        <w:jc w:val="both"/>
        <w:rPr>
          <w:rFonts w:ascii="Times New Roman" w:hAnsi="Times New Roman" w:cs="Times New Roman"/>
          <w:b/>
          <w:i/>
        </w:rPr>
      </w:pPr>
    </w:p>
    <w:p w:rsidR="00CC4CFA" w:rsidRPr="004D6CAB" w:rsidRDefault="00CC4CFA" w:rsidP="008936BD">
      <w:pPr>
        <w:spacing w:after="0"/>
        <w:jc w:val="both"/>
        <w:rPr>
          <w:rFonts w:ascii="Times New Roman" w:hAnsi="Times New Roman" w:cs="Times New Roman"/>
          <w:b/>
          <w:i/>
        </w:rPr>
      </w:pPr>
    </w:p>
    <w:p w:rsidR="0077408D" w:rsidRPr="004D6CAB" w:rsidRDefault="0077408D" w:rsidP="008936BD">
      <w:pPr>
        <w:pStyle w:val="Paragraphedeliste"/>
        <w:numPr>
          <w:ilvl w:val="0"/>
          <w:numId w:val="1"/>
        </w:numPr>
        <w:spacing w:after="0"/>
        <w:jc w:val="both"/>
        <w:rPr>
          <w:rFonts w:ascii="Times New Roman" w:hAnsi="Times New Roman" w:cs="Times New Roman"/>
          <w:b/>
          <w:i/>
          <w:sz w:val="28"/>
          <w:szCs w:val="28"/>
        </w:rPr>
      </w:pPr>
      <w:r w:rsidRPr="004D6CAB">
        <w:rPr>
          <w:rFonts w:ascii="Times New Roman" w:hAnsi="Times New Roman" w:cs="Times New Roman"/>
          <w:b/>
          <w:sz w:val="28"/>
          <w:szCs w:val="28"/>
        </w:rPr>
        <w:t>Equity issues at regional level</w:t>
      </w:r>
    </w:p>
    <w:p w:rsidR="0077408D" w:rsidRPr="004D6CAB" w:rsidRDefault="0077408D" w:rsidP="008936BD">
      <w:pPr>
        <w:spacing w:after="0"/>
        <w:jc w:val="both"/>
        <w:rPr>
          <w:rFonts w:ascii="Times New Roman" w:hAnsi="Times New Roman" w:cs="Times New Roman"/>
          <w:b/>
          <w:i/>
        </w:rPr>
      </w:pPr>
    </w:p>
    <w:p w:rsidR="002862BA" w:rsidRPr="004D6CAB" w:rsidRDefault="001F1352" w:rsidP="001B005F">
      <w:pPr>
        <w:spacing w:after="0"/>
        <w:jc w:val="both"/>
        <w:rPr>
          <w:rFonts w:ascii="Times New Roman" w:hAnsi="Times New Roman" w:cs="Times New Roman"/>
        </w:rPr>
      </w:pPr>
      <w:r w:rsidRPr="004D6CAB">
        <w:rPr>
          <w:rFonts w:ascii="Times New Roman" w:hAnsi="Times New Roman" w:cs="Times New Roman"/>
        </w:rPr>
        <w:t xml:space="preserve">The recent reform of the public pension system has equally impacted the benefits at </w:t>
      </w:r>
      <w:r w:rsidR="0066634D" w:rsidRPr="004D6CAB">
        <w:rPr>
          <w:rFonts w:ascii="Times New Roman" w:hAnsi="Times New Roman" w:cs="Times New Roman"/>
        </w:rPr>
        <w:t xml:space="preserve">the county level. </w:t>
      </w:r>
      <w:r w:rsidRPr="004D6CAB">
        <w:rPr>
          <w:rFonts w:ascii="Times New Roman" w:hAnsi="Times New Roman" w:cs="Times New Roman"/>
        </w:rPr>
        <w:t xml:space="preserve"> </w:t>
      </w:r>
      <w:r w:rsidR="00EB5AEA" w:rsidRPr="004D6CAB">
        <w:rPr>
          <w:rFonts w:ascii="Times New Roman" w:hAnsi="Times New Roman" w:cs="Times New Roman"/>
        </w:rPr>
        <w:t xml:space="preserve">As Figure </w:t>
      </w:r>
      <w:r w:rsidR="009952C8">
        <w:rPr>
          <w:rFonts w:ascii="Times New Roman" w:hAnsi="Times New Roman" w:cs="Times New Roman"/>
        </w:rPr>
        <w:t>4</w:t>
      </w:r>
      <w:r w:rsidRPr="004D6CAB">
        <w:rPr>
          <w:rFonts w:ascii="Times New Roman" w:hAnsi="Times New Roman" w:cs="Times New Roman"/>
        </w:rPr>
        <w:t xml:space="preserve"> </w:t>
      </w:r>
      <w:r w:rsidR="00EB5AEA" w:rsidRPr="004D6CAB">
        <w:rPr>
          <w:rFonts w:ascii="Times New Roman" w:hAnsi="Times New Roman" w:cs="Times New Roman"/>
        </w:rPr>
        <w:t>shows, the average pension increased in all counties</w:t>
      </w:r>
      <w:r w:rsidR="00FA4707" w:rsidRPr="004D6CAB">
        <w:rPr>
          <w:rFonts w:ascii="Times New Roman" w:hAnsi="Times New Roman" w:cs="Times New Roman"/>
        </w:rPr>
        <w:t xml:space="preserve">, but at </w:t>
      </w:r>
      <w:r w:rsidR="00FA4707" w:rsidRPr="004D6CAB">
        <w:rPr>
          <w:rFonts w:ascii="Times New Roman" w:hAnsi="Times New Roman" w:cs="Times New Roman"/>
        </w:rPr>
        <w:lastRenderedPageBreak/>
        <w:t xml:space="preserve">different rates. As compared to March 2009, in May 2012 the average pension at national level was 13.3% higher. In 24 counties the increase was below the country’s average, with the lowest recorded in </w:t>
      </w:r>
      <w:proofErr w:type="spellStart"/>
      <w:r w:rsidR="00A91533" w:rsidRPr="004D6CAB">
        <w:rPr>
          <w:rFonts w:ascii="Times New Roman" w:hAnsi="Times New Roman" w:cs="Times New Roman"/>
        </w:rPr>
        <w:t>Satu</w:t>
      </w:r>
      <w:proofErr w:type="spellEnd"/>
      <w:r w:rsidR="00A91533" w:rsidRPr="004D6CAB">
        <w:rPr>
          <w:rFonts w:ascii="Times New Roman" w:hAnsi="Times New Roman" w:cs="Times New Roman"/>
        </w:rPr>
        <w:t xml:space="preserve"> Mare (9.99%), </w:t>
      </w:r>
      <w:proofErr w:type="spellStart"/>
      <w:r w:rsidR="00A91533" w:rsidRPr="004D6CAB">
        <w:rPr>
          <w:rFonts w:ascii="Times New Roman" w:hAnsi="Times New Roman" w:cs="Times New Roman"/>
        </w:rPr>
        <w:t>Covasna</w:t>
      </w:r>
      <w:proofErr w:type="spellEnd"/>
      <w:r w:rsidR="00A91533" w:rsidRPr="004D6CAB">
        <w:rPr>
          <w:rFonts w:ascii="Times New Roman" w:hAnsi="Times New Roman" w:cs="Times New Roman"/>
        </w:rPr>
        <w:t xml:space="preserve"> (10.18%) and Arad (10.</w:t>
      </w:r>
      <w:r w:rsidR="009952C8">
        <w:rPr>
          <w:rFonts w:ascii="Times New Roman" w:hAnsi="Times New Roman" w:cs="Times New Roman"/>
        </w:rPr>
        <w:t>2%). At the same time, 18 count</w:t>
      </w:r>
      <w:r w:rsidR="00A91533" w:rsidRPr="004D6CAB">
        <w:rPr>
          <w:rFonts w:ascii="Times New Roman" w:hAnsi="Times New Roman" w:cs="Times New Roman"/>
        </w:rPr>
        <w:t xml:space="preserve">ies experienced an increase of the average benefit above the </w:t>
      </w:r>
      <w:r w:rsidR="00367726" w:rsidRPr="004D6CAB">
        <w:rPr>
          <w:rFonts w:ascii="Times New Roman" w:hAnsi="Times New Roman" w:cs="Times New Roman"/>
        </w:rPr>
        <w:t xml:space="preserve">national average; the highest such increase is observed in Galati (17.06%), </w:t>
      </w:r>
      <w:proofErr w:type="spellStart"/>
      <w:r w:rsidR="00367726" w:rsidRPr="004D6CAB">
        <w:rPr>
          <w:rFonts w:ascii="Times New Roman" w:hAnsi="Times New Roman" w:cs="Times New Roman"/>
        </w:rPr>
        <w:t>Gorj</w:t>
      </w:r>
      <w:proofErr w:type="spellEnd"/>
      <w:r w:rsidR="00367726" w:rsidRPr="004D6CAB">
        <w:rPr>
          <w:rFonts w:ascii="Times New Roman" w:hAnsi="Times New Roman" w:cs="Times New Roman"/>
        </w:rPr>
        <w:t xml:space="preserve"> (15.77%), and </w:t>
      </w:r>
      <w:proofErr w:type="spellStart"/>
      <w:r w:rsidR="00367726" w:rsidRPr="004D6CAB">
        <w:rPr>
          <w:rFonts w:ascii="Times New Roman" w:hAnsi="Times New Roman" w:cs="Times New Roman"/>
        </w:rPr>
        <w:t>Valcea</w:t>
      </w:r>
      <w:proofErr w:type="spellEnd"/>
      <w:r w:rsidR="00367726" w:rsidRPr="004D6CAB">
        <w:rPr>
          <w:rFonts w:ascii="Times New Roman" w:hAnsi="Times New Roman" w:cs="Times New Roman"/>
        </w:rPr>
        <w:t xml:space="preserve"> (15.39%).</w:t>
      </w:r>
    </w:p>
    <w:p w:rsidR="002862BA" w:rsidRPr="004D6CAB" w:rsidRDefault="002862BA" w:rsidP="001B005F">
      <w:pPr>
        <w:spacing w:after="0"/>
        <w:jc w:val="both"/>
        <w:rPr>
          <w:rFonts w:ascii="Times New Roman" w:hAnsi="Times New Roman" w:cs="Times New Roman"/>
        </w:rPr>
      </w:pPr>
    </w:p>
    <w:p w:rsidR="00F674E7" w:rsidRPr="004D6CAB" w:rsidRDefault="00F674E7" w:rsidP="00F674E7">
      <w:pPr>
        <w:spacing w:after="0"/>
        <w:jc w:val="center"/>
        <w:rPr>
          <w:rFonts w:ascii="Times New Roman" w:hAnsi="Times New Roman" w:cs="Times New Roman"/>
          <w:b/>
          <w:i/>
          <w:lang w:val="en-US"/>
        </w:rPr>
      </w:pPr>
      <w:r w:rsidRPr="004D6CAB">
        <w:rPr>
          <w:rFonts w:ascii="Times New Roman" w:hAnsi="Times New Roman" w:cs="Times New Roman"/>
          <w:b/>
          <w:i/>
          <w:lang w:val="en-US"/>
        </w:rPr>
        <w:t xml:space="preserve">Figure </w:t>
      </w:r>
      <w:r w:rsidR="009952C8">
        <w:rPr>
          <w:rFonts w:ascii="Times New Roman" w:hAnsi="Times New Roman" w:cs="Times New Roman"/>
          <w:b/>
          <w:i/>
          <w:lang w:val="en-US"/>
        </w:rPr>
        <w:t>4</w:t>
      </w:r>
      <w:r w:rsidR="001F05CD" w:rsidRPr="004D6CAB">
        <w:rPr>
          <w:rFonts w:ascii="Times New Roman" w:hAnsi="Times New Roman" w:cs="Times New Roman"/>
          <w:b/>
          <w:i/>
          <w:lang w:val="en-US"/>
        </w:rPr>
        <w:t>:</w:t>
      </w:r>
      <w:r w:rsidRPr="004D6CAB">
        <w:rPr>
          <w:rFonts w:ascii="Times New Roman" w:hAnsi="Times New Roman" w:cs="Times New Roman"/>
          <w:b/>
          <w:i/>
          <w:lang w:val="en-US"/>
        </w:rPr>
        <w:t xml:space="preserve"> </w:t>
      </w:r>
      <w:r w:rsidR="001F05CD" w:rsidRPr="004D6CAB">
        <w:rPr>
          <w:rFonts w:ascii="Times New Roman" w:hAnsi="Times New Roman" w:cs="Times New Roman"/>
          <w:b/>
          <w:i/>
          <w:lang w:val="en-US"/>
        </w:rPr>
        <w:t>Net average pension at county level in</w:t>
      </w:r>
      <w:r w:rsidRPr="004D6CAB">
        <w:rPr>
          <w:rFonts w:ascii="Times New Roman" w:hAnsi="Times New Roman" w:cs="Times New Roman"/>
          <w:b/>
          <w:i/>
          <w:lang w:val="en-US"/>
        </w:rPr>
        <w:t xml:space="preserve"> </w:t>
      </w:r>
      <w:r w:rsidR="001F05CD" w:rsidRPr="004D6CAB">
        <w:rPr>
          <w:rFonts w:ascii="Times New Roman" w:hAnsi="Times New Roman" w:cs="Times New Roman"/>
          <w:b/>
          <w:i/>
          <w:lang w:val="en-US"/>
        </w:rPr>
        <w:t xml:space="preserve">March </w:t>
      </w:r>
      <w:r w:rsidRPr="004D6CAB">
        <w:rPr>
          <w:rFonts w:ascii="Times New Roman" w:hAnsi="Times New Roman" w:cs="Times New Roman"/>
          <w:b/>
          <w:i/>
          <w:lang w:val="en-US"/>
        </w:rPr>
        <w:t xml:space="preserve">2009 </w:t>
      </w:r>
      <w:r w:rsidR="001F05CD" w:rsidRPr="004D6CAB">
        <w:rPr>
          <w:rFonts w:ascii="Times New Roman" w:hAnsi="Times New Roman" w:cs="Times New Roman"/>
          <w:b/>
          <w:i/>
          <w:lang w:val="en-US"/>
        </w:rPr>
        <w:t>and</w:t>
      </w:r>
      <w:r w:rsidRPr="004D6CAB">
        <w:rPr>
          <w:rFonts w:ascii="Times New Roman" w:hAnsi="Times New Roman" w:cs="Times New Roman"/>
          <w:b/>
          <w:i/>
          <w:lang w:val="en-US"/>
        </w:rPr>
        <w:t xml:space="preserve"> </w:t>
      </w:r>
      <w:r w:rsidR="001F05CD" w:rsidRPr="004D6CAB">
        <w:rPr>
          <w:rFonts w:ascii="Times New Roman" w:hAnsi="Times New Roman" w:cs="Times New Roman"/>
          <w:b/>
          <w:i/>
          <w:lang w:val="en-US"/>
        </w:rPr>
        <w:t xml:space="preserve">May </w:t>
      </w:r>
      <w:r w:rsidRPr="004D6CAB">
        <w:rPr>
          <w:rFonts w:ascii="Times New Roman" w:hAnsi="Times New Roman" w:cs="Times New Roman"/>
          <w:b/>
          <w:i/>
          <w:lang w:val="en-US"/>
        </w:rPr>
        <w:t xml:space="preserve">2012 </w:t>
      </w:r>
    </w:p>
    <w:p w:rsidR="00F674E7" w:rsidRPr="004D6CAB" w:rsidRDefault="00F674E7" w:rsidP="00F674E7">
      <w:pPr>
        <w:spacing w:after="0"/>
        <w:jc w:val="both"/>
        <w:rPr>
          <w:rFonts w:ascii="Times New Roman" w:hAnsi="Times New Roman" w:cs="Times New Roman"/>
          <w:b/>
          <w:i/>
        </w:rPr>
      </w:pPr>
      <w:r w:rsidRPr="004D6CAB">
        <w:rPr>
          <w:rFonts w:ascii="Times New Roman" w:hAnsi="Times New Roman" w:cs="Times New Roman"/>
          <w:noProof/>
          <w:lang w:val="fr-FR" w:eastAsia="fr-FR"/>
        </w:rPr>
        <w:drawing>
          <wp:inline distT="0" distB="0" distL="0" distR="0">
            <wp:extent cx="5760720" cy="3057414"/>
            <wp:effectExtent l="19050" t="0" r="1143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74E7" w:rsidRPr="004D6CAB" w:rsidRDefault="00F674E7" w:rsidP="00F674E7">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calculations based on data from National House of Pensions and Other Social Insurance Rights, </w:t>
      </w:r>
    </w:p>
    <w:p w:rsidR="00F674E7" w:rsidRPr="009952C8" w:rsidRDefault="00E83AEE" w:rsidP="00F674E7">
      <w:pPr>
        <w:spacing w:after="0"/>
        <w:jc w:val="right"/>
        <w:rPr>
          <w:rFonts w:ascii="Times New Roman" w:hAnsi="Times New Roman" w:cs="Times New Roman"/>
          <w:sz w:val="20"/>
          <w:szCs w:val="20"/>
        </w:rPr>
      </w:pPr>
      <w:hyperlink r:id="rId15" w:history="1">
        <w:r w:rsidR="00F674E7" w:rsidRPr="009952C8">
          <w:rPr>
            <w:rStyle w:val="Lienhypertexte"/>
            <w:rFonts w:ascii="Times New Roman" w:hAnsi="Times New Roman" w:cs="Times New Roman"/>
            <w:color w:val="auto"/>
            <w:sz w:val="20"/>
            <w:szCs w:val="20"/>
          </w:rPr>
          <w:t>http://www.cnpas.org/portal/mediatype/html/language/ro/user/anon/page/default.psml/template/generic?url=%2Fcontent%2Fcnpas%2Fstatistics.html&amp;title=Indicatori+statistici+pilon+I</w:t>
        </w:r>
      </w:hyperlink>
    </w:p>
    <w:p w:rsidR="00F674E7" w:rsidRPr="004D6CAB" w:rsidRDefault="00F674E7" w:rsidP="001B005F">
      <w:pPr>
        <w:spacing w:after="0"/>
        <w:jc w:val="both"/>
        <w:rPr>
          <w:rFonts w:ascii="Times New Roman" w:hAnsi="Times New Roman" w:cs="Times New Roman"/>
        </w:rPr>
      </w:pPr>
    </w:p>
    <w:p w:rsidR="00D874A3" w:rsidRPr="004D6CAB" w:rsidRDefault="00367726" w:rsidP="00F34ABA">
      <w:pPr>
        <w:spacing w:after="0"/>
        <w:jc w:val="both"/>
        <w:rPr>
          <w:rFonts w:ascii="Times New Roman" w:hAnsi="Times New Roman" w:cs="Times New Roman"/>
        </w:rPr>
      </w:pPr>
      <w:r w:rsidRPr="004D6CAB">
        <w:rPr>
          <w:rFonts w:ascii="Times New Roman" w:hAnsi="Times New Roman" w:cs="Times New Roman"/>
        </w:rPr>
        <w:t xml:space="preserve">However, for equity reasons it is important to compare the nominal average benefit in a specific county with the real one – discounted by the cost of </w:t>
      </w:r>
      <w:r w:rsidR="00F34ABA" w:rsidRPr="004D6CAB">
        <w:rPr>
          <w:rFonts w:ascii="Times New Roman" w:hAnsi="Times New Roman" w:cs="Times New Roman"/>
        </w:rPr>
        <w:t xml:space="preserve">living. One way of determining the real pension is to adjust its nominal level by a “cost of life index” expressed as the ratio between the average wage of a </w:t>
      </w:r>
      <w:r w:rsidR="005038DF" w:rsidRPr="004D6CAB">
        <w:rPr>
          <w:rFonts w:ascii="Times New Roman" w:hAnsi="Times New Roman" w:cs="Times New Roman"/>
        </w:rPr>
        <w:t xml:space="preserve">specific </w:t>
      </w:r>
      <w:r w:rsidR="00C06056">
        <w:rPr>
          <w:rFonts w:ascii="Times New Roman" w:hAnsi="Times New Roman" w:cs="Times New Roman"/>
        </w:rPr>
        <w:t>county</w:t>
      </w:r>
      <w:r w:rsidR="00F34ABA" w:rsidRPr="004D6CAB">
        <w:rPr>
          <w:rFonts w:ascii="Times New Roman" w:hAnsi="Times New Roman" w:cs="Times New Roman"/>
        </w:rPr>
        <w:t xml:space="preserve"> and the average wage at country level.</w:t>
      </w:r>
      <w:r w:rsidR="005038DF" w:rsidRPr="004D6CAB">
        <w:rPr>
          <w:rFonts w:ascii="Times New Roman" w:hAnsi="Times New Roman" w:cs="Times New Roman"/>
        </w:rPr>
        <w:t xml:space="preserve"> The wage rate in a particular </w:t>
      </w:r>
      <w:r w:rsidR="00D874A3" w:rsidRPr="004D6CAB">
        <w:rPr>
          <w:rFonts w:ascii="Times New Roman" w:hAnsi="Times New Roman" w:cs="Times New Roman"/>
        </w:rPr>
        <w:t xml:space="preserve">zone (county, region) </w:t>
      </w:r>
      <w:r w:rsidR="005038DF" w:rsidRPr="004D6CAB">
        <w:rPr>
          <w:rFonts w:ascii="Times New Roman" w:hAnsi="Times New Roman" w:cs="Times New Roman"/>
        </w:rPr>
        <w:t xml:space="preserve">is generally </w:t>
      </w:r>
      <w:r w:rsidR="00D874A3" w:rsidRPr="004D6CAB">
        <w:rPr>
          <w:rFonts w:ascii="Times New Roman" w:hAnsi="Times New Roman" w:cs="Times New Roman"/>
        </w:rPr>
        <w:t xml:space="preserve">a function of the </w:t>
      </w:r>
      <w:r w:rsidR="005038DF" w:rsidRPr="004D6CAB">
        <w:rPr>
          <w:rFonts w:ascii="Times New Roman" w:hAnsi="Times New Roman" w:cs="Times New Roman"/>
        </w:rPr>
        <w:t>life expensiveness</w:t>
      </w:r>
      <w:r w:rsidR="00D874A3" w:rsidRPr="004D6CAB">
        <w:rPr>
          <w:rFonts w:ascii="Times New Roman" w:hAnsi="Times New Roman" w:cs="Times New Roman"/>
        </w:rPr>
        <w:t>; as a result, in counties where the average salary is below the national average the life is less expensive, while salaries higher than the country</w:t>
      </w:r>
      <w:r w:rsidR="00C06056">
        <w:rPr>
          <w:rFonts w:ascii="Times New Roman" w:hAnsi="Times New Roman" w:cs="Times New Roman"/>
        </w:rPr>
        <w:t>’s</w:t>
      </w:r>
      <w:r w:rsidR="00D874A3" w:rsidRPr="004D6CAB">
        <w:rPr>
          <w:rFonts w:ascii="Times New Roman" w:hAnsi="Times New Roman" w:cs="Times New Roman"/>
        </w:rPr>
        <w:t xml:space="preserve"> average indicate a more expensive life than the national average. </w:t>
      </w:r>
      <w:r w:rsidR="005038DF" w:rsidRPr="004D6CAB">
        <w:rPr>
          <w:rFonts w:ascii="Times New Roman" w:hAnsi="Times New Roman" w:cs="Times New Roman"/>
        </w:rPr>
        <w:t xml:space="preserve"> </w:t>
      </w:r>
    </w:p>
    <w:p w:rsidR="00B54B08" w:rsidRPr="004D6CAB" w:rsidRDefault="00D874A3" w:rsidP="001B005F">
      <w:pPr>
        <w:spacing w:after="0"/>
        <w:jc w:val="both"/>
        <w:rPr>
          <w:rFonts w:ascii="Times New Roman" w:hAnsi="Times New Roman" w:cs="Times New Roman"/>
        </w:rPr>
      </w:pPr>
      <w:r w:rsidRPr="004D6CAB">
        <w:rPr>
          <w:rFonts w:ascii="Times New Roman" w:hAnsi="Times New Roman" w:cs="Times New Roman"/>
        </w:rPr>
        <w:t xml:space="preserve">Using therefore this index, we computed the real average pension at county level and compared it with the nominal one (Figure </w:t>
      </w:r>
      <w:r w:rsidR="00C06056">
        <w:rPr>
          <w:rFonts w:ascii="Times New Roman" w:hAnsi="Times New Roman" w:cs="Times New Roman"/>
        </w:rPr>
        <w:t>5</w:t>
      </w:r>
      <w:r w:rsidRPr="004D6CAB">
        <w:rPr>
          <w:rFonts w:ascii="Times New Roman" w:hAnsi="Times New Roman" w:cs="Times New Roman"/>
        </w:rPr>
        <w:t xml:space="preserve">). </w:t>
      </w:r>
      <w:r w:rsidR="005038DF" w:rsidRPr="004D6CAB">
        <w:rPr>
          <w:rFonts w:ascii="Times New Roman" w:hAnsi="Times New Roman" w:cs="Times New Roman"/>
        </w:rPr>
        <w:t xml:space="preserve"> </w:t>
      </w:r>
      <w:r w:rsidR="00283FEA" w:rsidRPr="004D6CAB">
        <w:rPr>
          <w:rFonts w:ascii="Times New Roman" w:hAnsi="Times New Roman" w:cs="Times New Roman"/>
        </w:rPr>
        <w:t>It can be seen that in only 4 counties (</w:t>
      </w:r>
      <w:proofErr w:type="spellStart"/>
      <w:r w:rsidR="00283FEA" w:rsidRPr="004D6CAB">
        <w:rPr>
          <w:rFonts w:ascii="Times New Roman" w:hAnsi="Times New Roman" w:cs="Times New Roman"/>
        </w:rPr>
        <w:t>Ilfo</w:t>
      </w:r>
      <w:r w:rsidR="00977D86" w:rsidRPr="004D6CAB">
        <w:rPr>
          <w:rFonts w:ascii="Times New Roman" w:hAnsi="Times New Roman" w:cs="Times New Roman"/>
        </w:rPr>
        <w:t>v</w:t>
      </w:r>
      <w:proofErr w:type="spellEnd"/>
      <w:r w:rsidR="00283FEA" w:rsidRPr="004D6CAB">
        <w:rPr>
          <w:rFonts w:ascii="Times New Roman" w:hAnsi="Times New Roman" w:cs="Times New Roman"/>
        </w:rPr>
        <w:t xml:space="preserve">, </w:t>
      </w:r>
      <w:proofErr w:type="spellStart"/>
      <w:r w:rsidR="00283FEA" w:rsidRPr="004D6CAB">
        <w:rPr>
          <w:rFonts w:ascii="Times New Roman" w:hAnsi="Times New Roman" w:cs="Times New Roman"/>
        </w:rPr>
        <w:t>Bucuresti</w:t>
      </w:r>
      <w:proofErr w:type="spellEnd"/>
      <w:r w:rsidR="00283FEA" w:rsidRPr="004D6CAB">
        <w:rPr>
          <w:rFonts w:ascii="Times New Roman" w:hAnsi="Times New Roman" w:cs="Times New Roman"/>
        </w:rPr>
        <w:t xml:space="preserve">, Sibiu, </w:t>
      </w:r>
      <w:proofErr w:type="spellStart"/>
      <w:proofErr w:type="gramStart"/>
      <w:r w:rsidR="00283FEA" w:rsidRPr="004D6CAB">
        <w:rPr>
          <w:rFonts w:ascii="Times New Roman" w:hAnsi="Times New Roman" w:cs="Times New Roman"/>
        </w:rPr>
        <w:t>Cluj</w:t>
      </w:r>
      <w:proofErr w:type="spellEnd"/>
      <w:proofErr w:type="gramEnd"/>
      <w:r w:rsidR="00283FEA" w:rsidRPr="004D6CAB">
        <w:rPr>
          <w:rFonts w:ascii="Times New Roman" w:hAnsi="Times New Roman" w:cs="Times New Roman"/>
        </w:rPr>
        <w:t>) the real pension is inferior to the nominal one</w:t>
      </w:r>
      <w:r w:rsidR="00977D86" w:rsidRPr="004D6CAB">
        <w:rPr>
          <w:rFonts w:ascii="Times New Roman" w:hAnsi="Times New Roman" w:cs="Times New Roman"/>
        </w:rPr>
        <w:t>, with the largest gap being recorded in case of Bucharest, where the real pension represents only 69.6% of the nominal one</w:t>
      </w:r>
      <w:r w:rsidR="00283FEA" w:rsidRPr="004D6CAB">
        <w:rPr>
          <w:rFonts w:ascii="Times New Roman" w:hAnsi="Times New Roman" w:cs="Times New Roman"/>
        </w:rPr>
        <w:t xml:space="preserve">. </w:t>
      </w:r>
      <w:r w:rsidR="00977D86" w:rsidRPr="004D6CAB">
        <w:rPr>
          <w:rFonts w:ascii="Times New Roman" w:hAnsi="Times New Roman" w:cs="Times New Roman"/>
        </w:rPr>
        <w:t>These are economically the most developed counties of Romania</w:t>
      </w:r>
      <w:r w:rsidR="00915AB6" w:rsidRPr="004D6CAB">
        <w:rPr>
          <w:rFonts w:ascii="Times New Roman" w:hAnsi="Times New Roman" w:cs="Times New Roman"/>
        </w:rPr>
        <w:t>, which implies that rapid economic development induces high costs of living. The development is therefore beneficial for active persons, who see their salaries increasing well above the country’s average</w:t>
      </w:r>
      <w:r w:rsidR="006D64EF" w:rsidRPr="004D6CAB">
        <w:rPr>
          <w:rFonts w:ascii="Times New Roman" w:hAnsi="Times New Roman" w:cs="Times New Roman"/>
        </w:rPr>
        <w:t xml:space="preserve">. Nevertheless, this is </w:t>
      </w:r>
      <w:r w:rsidR="00915AB6" w:rsidRPr="004D6CAB">
        <w:rPr>
          <w:rFonts w:ascii="Times New Roman" w:hAnsi="Times New Roman" w:cs="Times New Roman"/>
        </w:rPr>
        <w:t xml:space="preserve">unfavourable for </w:t>
      </w:r>
      <w:r w:rsidR="006D64EF" w:rsidRPr="004D6CAB">
        <w:rPr>
          <w:rFonts w:ascii="Times New Roman" w:hAnsi="Times New Roman" w:cs="Times New Roman"/>
        </w:rPr>
        <w:t xml:space="preserve">the </w:t>
      </w:r>
      <w:r w:rsidR="00915AB6" w:rsidRPr="004D6CAB">
        <w:rPr>
          <w:rFonts w:ascii="Times New Roman" w:hAnsi="Times New Roman" w:cs="Times New Roman"/>
        </w:rPr>
        <w:t xml:space="preserve">retired people, who receive their pensions on the basis of contributions paid in the past, when the </w:t>
      </w:r>
      <w:r w:rsidR="006D64EF" w:rsidRPr="004D6CAB">
        <w:rPr>
          <w:rFonts w:ascii="Times New Roman" w:hAnsi="Times New Roman" w:cs="Times New Roman"/>
        </w:rPr>
        <w:t xml:space="preserve">level of development (and </w:t>
      </w:r>
      <w:r w:rsidR="006D64EF" w:rsidRPr="004D6CAB">
        <w:rPr>
          <w:rFonts w:ascii="Times New Roman" w:hAnsi="Times New Roman" w:cs="Times New Roman"/>
        </w:rPr>
        <w:lastRenderedPageBreak/>
        <w:t xml:space="preserve">consequently the salaries on which their contributions were calculated) was far below the current levels. </w:t>
      </w:r>
      <w:r w:rsidR="00915AB6" w:rsidRPr="004D6CAB">
        <w:rPr>
          <w:rFonts w:ascii="Times New Roman" w:hAnsi="Times New Roman" w:cs="Times New Roman"/>
        </w:rPr>
        <w:t xml:space="preserve"> </w:t>
      </w:r>
      <w:r w:rsidR="00977D86" w:rsidRPr="004D6CAB">
        <w:rPr>
          <w:rFonts w:ascii="Times New Roman" w:hAnsi="Times New Roman" w:cs="Times New Roman"/>
        </w:rPr>
        <w:t xml:space="preserve"> </w:t>
      </w:r>
    </w:p>
    <w:p w:rsidR="0066634D" w:rsidRPr="004D6CAB" w:rsidRDefault="0066634D" w:rsidP="008936BD">
      <w:pPr>
        <w:spacing w:after="0"/>
        <w:jc w:val="both"/>
        <w:rPr>
          <w:rFonts w:ascii="Times New Roman" w:hAnsi="Times New Roman" w:cs="Times New Roman"/>
        </w:rPr>
      </w:pPr>
    </w:p>
    <w:p w:rsidR="007122F1" w:rsidRPr="004D6CAB" w:rsidRDefault="006D64EF" w:rsidP="00366715">
      <w:pPr>
        <w:spacing w:after="0"/>
        <w:jc w:val="center"/>
        <w:rPr>
          <w:rFonts w:ascii="Times New Roman" w:hAnsi="Times New Roman" w:cs="Times New Roman"/>
          <w:b/>
          <w:i/>
          <w:lang w:val="en-US"/>
        </w:rPr>
      </w:pPr>
      <w:r w:rsidRPr="004D6CAB">
        <w:rPr>
          <w:rFonts w:ascii="Times New Roman" w:hAnsi="Times New Roman" w:cs="Times New Roman"/>
          <w:b/>
          <w:i/>
          <w:lang w:val="en-US"/>
        </w:rPr>
        <w:t xml:space="preserve">Figure </w:t>
      </w:r>
      <w:r w:rsidR="00C06056">
        <w:rPr>
          <w:rFonts w:ascii="Times New Roman" w:hAnsi="Times New Roman" w:cs="Times New Roman"/>
          <w:b/>
          <w:i/>
          <w:lang w:val="en-US"/>
        </w:rPr>
        <w:t>5</w:t>
      </w:r>
      <w:r w:rsidR="001F05CD" w:rsidRPr="004D6CAB">
        <w:rPr>
          <w:rFonts w:ascii="Times New Roman" w:hAnsi="Times New Roman" w:cs="Times New Roman"/>
          <w:b/>
          <w:i/>
          <w:lang w:val="en-US"/>
        </w:rPr>
        <w:t>:</w:t>
      </w:r>
      <w:r w:rsidRPr="004D6CAB">
        <w:rPr>
          <w:rFonts w:ascii="Times New Roman" w:hAnsi="Times New Roman" w:cs="Times New Roman"/>
          <w:b/>
          <w:i/>
          <w:lang w:val="en-US"/>
        </w:rPr>
        <w:t xml:space="preserve"> </w:t>
      </w:r>
      <w:r w:rsidR="0010406D" w:rsidRPr="004D6CAB">
        <w:rPr>
          <w:rFonts w:ascii="Times New Roman" w:hAnsi="Times New Roman" w:cs="Times New Roman"/>
          <w:b/>
          <w:i/>
          <w:lang w:val="en-US"/>
        </w:rPr>
        <w:t>Nominal versus real average monthly pension at county level (January 2012)</w:t>
      </w:r>
    </w:p>
    <w:p w:rsidR="00954D3B" w:rsidRPr="004D6CAB" w:rsidRDefault="00954D3B" w:rsidP="008936BD">
      <w:pPr>
        <w:spacing w:after="0"/>
        <w:jc w:val="both"/>
        <w:rPr>
          <w:rFonts w:ascii="Times New Roman" w:hAnsi="Times New Roman" w:cs="Times New Roman"/>
          <w:b/>
          <w:i/>
        </w:rPr>
      </w:pPr>
      <w:r w:rsidRPr="004D6CAB">
        <w:rPr>
          <w:rFonts w:ascii="Times New Roman" w:hAnsi="Times New Roman" w:cs="Times New Roman"/>
          <w:b/>
          <w:i/>
          <w:noProof/>
          <w:lang w:val="fr-FR" w:eastAsia="fr-FR"/>
        </w:rPr>
        <w:drawing>
          <wp:inline distT="0" distB="0" distL="0" distR="0">
            <wp:extent cx="5760720" cy="3264980"/>
            <wp:effectExtent l="19050" t="0" r="1143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74E7" w:rsidRPr="004D6CAB" w:rsidRDefault="00F674E7" w:rsidP="00F674E7">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calculations based on data from National House of Pensions and Other Social Insurance Rights, </w:t>
      </w:r>
    </w:p>
    <w:p w:rsidR="0077408D" w:rsidRPr="00C06056" w:rsidRDefault="00E83AEE" w:rsidP="00F674E7">
      <w:pPr>
        <w:spacing w:after="0"/>
        <w:jc w:val="right"/>
        <w:rPr>
          <w:rFonts w:ascii="Times New Roman" w:hAnsi="Times New Roman" w:cs="Times New Roman"/>
          <w:b/>
          <w:i/>
          <w:sz w:val="20"/>
          <w:szCs w:val="20"/>
        </w:rPr>
      </w:pPr>
      <w:hyperlink r:id="rId17" w:history="1">
        <w:r w:rsidR="00F674E7" w:rsidRPr="00C06056">
          <w:rPr>
            <w:rStyle w:val="Lienhypertexte"/>
            <w:rFonts w:ascii="Times New Roman" w:hAnsi="Times New Roman" w:cs="Times New Roman"/>
            <w:color w:val="auto"/>
            <w:sz w:val="20"/>
            <w:szCs w:val="20"/>
          </w:rPr>
          <w:t>http://www.cnpas.org/portal/mediatype/html/language/ro/user/anon/page/default.psml/template/generic?url=%2Fcontent%2Fcnpas%2Fstatistics.html&amp;title=Indicatori+statistici+pilon+I</w:t>
        </w:r>
      </w:hyperlink>
    </w:p>
    <w:p w:rsidR="00C06056" w:rsidRDefault="00C06056" w:rsidP="008936BD">
      <w:pPr>
        <w:spacing w:after="0"/>
        <w:jc w:val="both"/>
        <w:rPr>
          <w:rFonts w:ascii="Times New Roman" w:hAnsi="Times New Roman" w:cs="Times New Roman"/>
        </w:rPr>
      </w:pPr>
    </w:p>
    <w:p w:rsidR="0032634A" w:rsidRPr="004D6CAB" w:rsidRDefault="005745DB" w:rsidP="008936BD">
      <w:pPr>
        <w:spacing w:after="0"/>
        <w:jc w:val="both"/>
        <w:rPr>
          <w:rFonts w:ascii="Times New Roman" w:hAnsi="Times New Roman" w:cs="Times New Roman"/>
        </w:rPr>
      </w:pPr>
      <w:r w:rsidRPr="004D6CAB">
        <w:rPr>
          <w:rFonts w:ascii="Times New Roman" w:hAnsi="Times New Roman" w:cs="Times New Roman"/>
        </w:rPr>
        <w:t>A relatively low ratio between real and nominal pensions is found in practically all develop</w:t>
      </w:r>
      <w:r w:rsidR="00CF7ED3" w:rsidRPr="004D6CAB">
        <w:rPr>
          <w:rFonts w:ascii="Times New Roman" w:hAnsi="Times New Roman" w:cs="Times New Roman"/>
        </w:rPr>
        <w:t xml:space="preserve">ed counties (Brasov, </w:t>
      </w:r>
      <w:proofErr w:type="spellStart"/>
      <w:r w:rsidR="00CF7ED3" w:rsidRPr="004D6CAB">
        <w:rPr>
          <w:rFonts w:ascii="Times New Roman" w:hAnsi="Times New Roman" w:cs="Times New Roman"/>
        </w:rPr>
        <w:t>Timis</w:t>
      </w:r>
      <w:proofErr w:type="spellEnd"/>
      <w:r w:rsidR="00CF7ED3" w:rsidRPr="004D6CAB">
        <w:rPr>
          <w:rFonts w:ascii="Times New Roman" w:hAnsi="Times New Roman" w:cs="Times New Roman"/>
        </w:rPr>
        <w:t xml:space="preserve">, </w:t>
      </w:r>
      <w:proofErr w:type="spellStart"/>
      <w:r w:rsidR="00CF7ED3" w:rsidRPr="004D6CAB">
        <w:rPr>
          <w:rFonts w:ascii="Times New Roman" w:hAnsi="Times New Roman" w:cs="Times New Roman"/>
        </w:rPr>
        <w:t>Pra</w:t>
      </w:r>
      <w:r w:rsidRPr="004D6CAB">
        <w:rPr>
          <w:rFonts w:ascii="Times New Roman" w:hAnsi="Times New Roman" w:cs="Times New Roman"/>
        </w:rPr>
        <w:t>hova</w:t>
      </w:r>
      <w:proofErr w:type="spellEnd"/>
      <w:r w:rsidRPr="004D6CAB">
        <w:rPr>
          <w:rFonts w:ascii="Times New Roman" w:hAnsi="Times New Roman" w:cs="Times New Roman"/>
        </w:rPr>
        <w:t xml:space="preserve">, Constanta, etc.), which confirms the fact that the pensioners benefit much less from economic development than the active workers. </w:t>
      </w:r>
      <w:r w:rsidR="00435172" w:rsidRPr="004D6CAB">
        <w:rPr>
          <w:rFonts w:ascii="Times New Roman" w:hAnsi="Times New Roman" w:cs="Times New Roman"/>
        </w:rPr>
        <w:t xml:space="preserve">The only exception is </w:t>
      </w:r>
      <w:proofErr w:type="spellStart"/>
      <w:r w:rsidR="00435172" w:rsidRPr="004D6CAB">
        <w:rPr>
          <w:rFonts w:ascii="Times New Roman" w:hAnsi="Times New Roman" w:cs="Times New Roman"/>
        </w:rPr>
        <w:t>Gorj</w:t>
      </w:r>
      <w:proofErr w:type="spellEnd"/>
      <w:r w:rsidR="00435172" w:rsidRPr="004D6CAB">
        <w:rPr>
          <w:rFonts w:ascii="Times New Roman" w:hAnsi="Times New Roman" w:cs="Times New Roman"/>
        </w:rPr>
        <w:t xml:space="preserve"> </w:t>
      </w:r>
      <w:proofErr w:type="gramStart"/>
      <w:r w:rsidR="00435172" w:rsidRPr="004D6CAB">
        <w:rPr>
          <w:rFonts w:ascii="Times New Roman" w:hAnsi="Times New Roman" w:cs="Times New Roman"/>
        </w:rPr>
        <w:t>county</w:t>
      </w:r>
      <w:proofErr w:type="gramEnd"/>
      <w:r w:rsidR="00435172" w:rsidRPr="004D6CAB">
        <w:rPr>
          <w:rFonts w:ascii="Times New Roman" w:hAnsi="Times New Roman" w:cs="Times New Roman"/>
        </w:rPr>
        <w:t xml:space="preserve">, where the real pension represents 98.5% of the nominal one. In this particular case, the ratio is due to the fact that the region used to be a mono-industrial zone during the communist period and the first decade of transition, with mining representing the </w:t>
      </w:r>
      <w:r w:rsidR="00657D3D" w:rsidRPr="004D6CAB">
        <w:rPr>
          <w:rFonts w:ascii="Times New Roman" w:hAnsi="Times New Roman" w:cs="Times New Roman"/>
        </w:rPr>
        <w:t xml:space="preserve">single major economic activity. The miners were allowed to retire much earlier than the standard age; </w:t>
      </w:r>
      <w:r w:rsidR="004C2FF3" w:rsidRPr="004D6CAB">
        <w:rPr>
          <w:rFonts w:ascii="Times New Roman" w:hAnsi="Times New Roman" w:cs="Times New Roman"/>
        </w:rPr>
        <w:t>consequently, the successive recalculations of pensions over the transition</w:t>
      </w:r>
      <w:r w:rsidR="00C06056">
        <w:rPr>
          <w:rFonts w:ascii="Times New Roman" w:hAnsi="Times New Roman" w:cs="Times New Roman"/>
        </w:rPr>
        <w:t xml:space="preserve"> period</w:t>
      </w:r>
      <w:r w:rsidR="004C2FF3" w:rsidRPr="004D6CAB">
        <w:rPr>
          <w:rFonts w:ascii="Times New Roman" w:hAnsi="Times New Roman" w:cs="Times New Roman"/>
        </w:rPr>
        <w:t xml:space="preserve"> affected negatively their average pension because of </w:t>
      </w:r>
      <w:r w:rsidR="0032634A" w:rsidRPr="004D6CAB">
        <w:rPr>
          <w:rFonts w:ascii="Times New Roman" w:hAnsi="Times New Roman" w:cs="Times New Roman"/>
        </w:rPr>
        <w:t>penalisations introduced for incomplete contributions periods.</w:t>
      </w:r>
    </w:p>
    <w:p w:rsidR="00FE6AC7" w:rsidRPr="004D6CAB" w:rsidRDefault="0032634A" w:rsidP="008936BD">
      <w:pPr>
        <w:spacing w:after="0"/>
        <w:jc w:val="both"/>
        <w:rPr>
          <w:rFonts w:ascii="Times New Roman" w:hAnsi="Times New Roman" w:cs="Times New Roman"/>
        </w:rPr>
      </w:pPr>
      <w:r w:rsidRPr="004D6CAB">
        <w:rPr>
          <w:rFonts w:ascii="Times New Roman" w:hAnsi="Times New Roman" w:cs="Times New Roman"/>
        </w:rPr>
        <w:t xml:space="preserve">At the opposite extreme, the relatively poor counties, such as </w:t>
      </w:r>
      <w:proofErr w:type="spellStart"/>
      <w:r w:rsidRPr="004D6CAB">
        <w:rPr>
          <w:rFonts w:ascii="Times New Roman" w:hAnsi="Times New Roman" w:cs="Times New Roman"/>
        </w:rPr>
        <w:t>Vrancea</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Botosani</w:t>
      </w:r>
      <w:proofErr w:type="spellEnd"/>
      <w:r w:rsidRPr="004D6CAB">
        <w:rPr>
          <w:rFonts w:ascii="Times New Roman" w:hAnsi="Times New Roman" w:cs="Times New Roman"/>
        </w:rPr>
        <w:t xml:space="preserve"> or </w:t>
      </w:r>
      <w:proofErr w:type="spellStart"/>
      <w:r w:rsidRPr="004D6CAB">
        <w:rPr>
          <w:rFonts w:ascii="Times New Roman" w:hAnsi="Times New Roman" w:cs="Times New Roman"/>
        </w:rPr>
        <w:t>Suceava</w:t>
      </w:r>
      <w:proofErr w:type="spellEnd"/>
      <w:r w:rsidRPr="004D6CAB">
        <w:rPr>
          <w:rFonts w:ascii="Times New Roman" w:hAnsi="Times New Roman" w:cs="Times New Roman"/>
        </w:rPr>
        <w:t xml:space="preserve">, record the highest ratio between the real and nominal pensions. </w:t>
      </w:r>
      <w:r w:rsidR="00FE6AC7" w:rsidRPr="004D6CAB">
        <w:rPr>
          <w:rFonts w:ascii="Times New Roman" w:hAnsi="Times New Roman" w:cs="Times New Roman"/>
        </w:rPr>
        <w:t>Thus in l</w:t>
      </w:r>
      <w:r w:rsidRPr="004D6CAB">
        <w:rPr>
          <w:rFonts w:ascii="Times New Roman" w:hAnsi="Times New Roman" w:cs="Times New Roman"/>
        </w:rPr>
        <w:t xml:space="preserve">ess </w:t>
      </w:r>
      <w:r w:rsidR="00FE6AC7" w:rsidRPr="004D6CAB">
        <w:rPr>
          <w:rFonts w:ascii="Times New Roman" w:hAnsi="Times New Roman" w:cs="Times New Roman"/>
        </w:rPr>
        <w:t xml:space="preserve">developed regions, where salaries are low, </w:t>
      </w:r>
      <w:proofErr w:type="gramStart"/>
      <w:r w:rsidR="00FE6AC7" w:rsidRPr="004D6CAB">
        <w:rPr>
          <w:rFonts w:ascii="Times New Roman" w:hAnsi="Times New Roman" w:cs="Times New Roman"/>
        </w:rPr>
        <w:t>the</w:t>
      </w:r>
      <w:proofErr w:type="gramEnd"/>
      <w:r w:rsidR="00FE6AC7" w:rsidRPr="004D6CAB">
        <w:rPr>
          <w:rFonts w:ascii="Times New Roman" w:hAnsi="Times New Roman" w:cs="Times New Roman"/>
        </w:rPr>
        <w:t xml:space="preserve"> retired persons – who receive their pension on the basis of past salaries, when the economic situation was more favourable – are better off than the active workers. </w:t>
      </w:r>
    </w:p>
    <w:p w:rsidR="00C06056" w:rsidRDefault="001664A4" w:rsidP="002862BA">
      <w:pPr>
        <w:spacing w:after="0"/>
        <w:jc w:val="both"/>
        <w:rPr>
          <w:rFonts w:ascii="Times New Roman" w:hAnsi="Times New Roman" w:cs="Times New Roman"/>
        </w:rPr>
      </w:pPr>
      <w:r w:rsidRPr="004D6CAB">
        <w:rPr>
          <w:rFonts w:ascii="Times New Roman" w:hAnsi="Times New Roman" w:cs="Times New Roman"/>
        </w:rPr>
        <w:t xml:space="preserve">Obviously, the level of economic development is not entirely responsible for these discrepancies across counties; other factors play a role, such as the specificity of economic activities existing in a particular county or region for example. However, the </w:t>
      </w:r>
      <w:r w:rsidR="00E311FF" w:rsidRPr="004D6CAB">
        <w:rPr>
          <w:rFonts w:ascii="Times New Roman" w:hAnsi="Times New Roman" w:cs="Times New Roman"/>
        </w:rPr>
        <w:t xml:space="preserve">development status is important. This is proved by the relatively large difference between nominal and real pensions when comparing the ratio between the highest and lowest level of the benefits: while </w:t>
      </w:r>
      <w:r w:rsidR="00E311FF" w:rsidRPr="004D6CAB">
        <w:rPr>
          <w:rFonts w:ascii="Times New Roman" w:hAnsi="Times New Roman" w:cs="Times New Roman"/>
        </w:rPr>
        <w:lastRenderedPageBreak/>
        <w:t xml:space="preserve">the ratio between the largest (in </w:t>
      </w:r>
      <w:proofErr w:type="spellStart"/>
      <w:r w:rsidR="00E311FF" w:rsidRPr="004D6CAB">
        <w:rPr>
          <w:rFonts w:ascii="Times New Roman" w:hAnsi="Times New Roman" w:cs="Times New Roman"/>
        </w:rPr>
        <w:t>Bucuresti</w:t>
      </w:r>
      <w:proofErr w:type="spellEnd"/>
      <w:r w:rsidR="00E311FF" w:rsidRPr="004D6CAB">
        <w:rPr>
          <w:rFonts w:ascii="Times New Roman" w:hAnsi="Times New Roman" w:cs="Times New Roman"/>
        </w:rPr>
        <w:t xml:space="preserve">) and lowest (in </w:t>
      </w:r>
      <w:r w:rsidR="00333E7E" w:rsidRPr="004D6CAB">
        <w:rPr>
          <w:rFonts w:ascii="Times New Roman" w:hAnsi="Times New Roman" w:cs="Times New Roman"/>
        </w:rPr>
        <w:t xml:space="preserve">Giurgiu) </w:t>
      </w:r>
      <w:r w:rsidR="00E311FF" w:rsidRPr="004D6CAB">
        <w:rPr>
          <w:rFonts w:ascii="Times New Roman" w:hAnsi="Times New Roman" w:cs="Times New Roman"/>
        </w:rPr>
        <w:t>nominal pension</w:t>
      </w:r>
      <w:r w:rsidR="00333E7E" w:rsidRPr="004D6CAB">
        <w:rPr>
          <w:rFonts w:ascii="Times New Roman" w:hAnsi="Times New Roman" w:cs="Times New Roman"/>
        </w:rPr>
        <w:t xml:space="preserve"> is only 1.57, the ratio between the highest (in </w:t>
      </w:r>
      <w:proofErr w:type="spellStart"/>
      <w:r w:rsidR="00333E7E" w:rsidRPr="004D6CAB">
        <w:rPr>
          <w:rFonts w:ascii="Times New Roman" w:hAnsi="Times New Roman" w:cs="Times New Roman"/>
        </w:rPr>
        <w:t>Hunedoara</w:t>
      </w:r>
      <w:proofErr w:type="spellEnd"/>
      <w:r w:rsidR="00333E7E" w:rsidRPr="004D6CAB">
        <w:rPr>
          <w:rFonts w:ascii="Times New Roman" w:hAnsi="Times New Roman" w:cs="Times New Roman"/>
        </w:rPr>
        <w:t xml:space="preserve">) and lowest (in </w:t>
      </w:r>
      <w:proofErr w:type="spellStart"/>
      <w:r w:rsidR="00333E7E" w:rsidRPr="004D6CAB">
        <w:rPr>
          <w:rFonts w:ascii="Times New Roman" w:hAnsi="Times New Roman" w:cs="Times New Roman"/>
        </w:rPr>
        <w:t>Ilfov</w:t>
      </w:r>
      <w:proofErr w:type="spellEnd"/>
      <w:r w:rsidR="00333E7E" w:rsidRPr="004D6CAB">
        <w:rPr>
          <w:rFonts w:ascii="Times New Roman" w:hAnsi="Times New Roman" w:cs="Times New Roman"/>
        </w:rPr>
        <w:t>) real pension amounts to 2.09.</w:t>
      </w:r>
      <w:r w:rsidR="00E311FF" w:rsidRPr="004D6CAB">
        <w:rPr>
          <w:rFonts w:ascii="Times New Roman" w:hAnsi="Times New Roman" w:cs="Times New Roman"/>
        </w:rPr>
        <w:t xml:space="preserve">  </w:t>
      </w:r>
      <w:r w:rsidRPr="004D6CAB">
        <w:rPr>
          <w:rFonts w:ascii="Times New Roman" w:hAnsi="Times New Roman" w:cs="Times New Roman"/>
        </w:rPr>
        <w:t xml:space="preserve"> </w:t>
      </w:r>
      <w:r w:rsidR="00657D3D" w:rsidRPr="004D6CAB">
        <w:rPr>
          <w:rFonts w:ascii="Times New Roman" w:hAnsi="Times New Roman" w:cs="Times New Roman"/>
        </w:rPr>
        <w:t xml:space="preserve">  </w:t>
      </w:r>
    </w:p>
    <w:p w:rsidR="002862BA" w:rsidRPr="00C06056" w:rsidRDefault="00C06056" w:rsidP="002862BA">
      <w:pPr>
        <w:spacing w:after="0"/>
        <w:jc w:val="both"/>
        <w:rPr>
          <w:rFonts w:ascii="Times New Roman" w:hAnsi="Times New Roman" w:cs="Times New Roman"/>
          <w:lang w:val="en-US"/>
        </w:rPr>
      </w:pPr>
      <w:r w:rsidRPr="004D6CAB">
        <w:rPr>
          <w:rFonts w:ascii="Times New Roman" w:hAnsi="Times New Roman" w:cs="Times New Roman"/>
        </w:rPr>
        <w:t xml:space="preserve">It is also interesting to note that at </w:t>
      </w:r>
      <w:r w:rsidR="008C3407">
        <w:rPr>
          <w:rFonts w:ascii="Times New Roman" w:hAnsi="Times New Roman" w:cs="Times New Roman"/>
        </w:rPr>
        <w:t xml:space="preserve">regional </w:t>
      </w:r>
      <w:r w:rsidRPr="004D6CAB">
        <w:rPr>
          <w:rFonts w:ascii="Times New Roman" w:hAnsi="Times New Roman" w:cs="Times New Roman"/>
        </w:rPr>
        <w:t xml:space="preserve">level </w:t>
      </w:r>
      <w:r w:rsidRPr="004D6CAB">
        <w:rPr>
          <w:rFonts w:ascii="Times New Roman" w:hAnsi="Times New Roman" w:cs="Times New Roman"/>
          <w:lang w:val="en-US"/>
        </w:rPr>
        <w:t>higher average pensions are found in th</w:t>
      </w:r>
      <w:r w:rsidR="008C3407">
        <w:rPr>
          <w:rFonts w:ascii="Times New Roman" w:hAnsi="Times New Roman" w:cs="Times New Roman"/>
          <w:lang w:val="en-US"/>
        </w:rPr>
        <w:t>ose</w:t>
      </w:r>
      <w:r w:rsidRPr="004D6CAB">
        <w:rPr>
          <w:rFonts w:ascii="Times New Roman" w:hAnsi="Times New Roman" w:cs="Times New Roman"/>
          <w:lang w:val="en-US"/>
        </w:rPr>
        <w:t xml:space="preserve"> macro-region</w:t>
      </w:r>
      <w:r w:rsidR="008C3407">
        <w:rPr>
          <w:rFonts w:ascii="Times New Roman" w:hAnsi="Times New Roman" w:cs="Times New Roman"/>
          <w:lang w:val="en-US"/>
        </w:rPr>
        <w:t>s</w:t>
      </w:r>
      <w:r w:rsidRPr="004D6CAB">
        <w:rPr>
          <w:rFonts w:ascii="Times New Roman" w:hAnsi="Times New Roman" w:cs="Times New Roman"/>
          <w:lang w:val="en-US"/>
        </w:rPr>
        <w:t xml:space="preserve"> where the number of pensioners is high (Figure </w:t>
      </w:r>
      <w:r w:rsidR="004D162C">
        <w:rPr>
          <w:rFonts w:ascii="Times New Roman" w:hAnsi="Times New Roman" w:cs="Times New Roman"/>
          <w:lang w:val="en-US"/>
        </w:rPr>
        <w:t>6</w:t>
      </w:r>
      <w:r w:rsidRPr="004D6CAB">
        <w:rPr>
          <w:rFonts w:ascii="Times New Roman" w:hAnsi="Times New Roman" w:cs="Times New Roman"/>
          <w:lang w:val="en-US"/>
        </w:rPr>
        <w:t>): the highest average benefits is recorded in the Macro-Region 3, where 22.39% of total pensioners were living in March 2012. As a general trend, the average net pension at macro-regions level runs</w:t>
      </w:r>
      <w:r w:rsidR="008C3407">
        <w:rPr>
          <w:rFonts w:ascii="Times New Roman" w:hAnsi="Times New Roman" w:cs="Times New Roman"/>
          <w:lang w:val="en-US"/>
        </w:rPr>
        <w:t xml:space="preserve"> a clockwise rotation, descending </w:t>
      </w:r>
      <w:r w:rsidRPr="004D6CAB">
        <w:rPr>
          <w:rFonts w:ascii="Times New Roman" w:hAnsi="Times New Roman" w:cs="Times New Roman"/>
          <w:lang w:val="en-US"/>
        </w:rPr>
        <w:t xml:space="preserve">from the highest level in MR 3 (RON 776) to the lowest level (RON 722) in MR 2. </w:t>
      </w:r>
      <w:r w:rsidR="00157950">
        <w:rPr>
          <w:rFonts w:ascii="Times New Roman" w:hAnsi="Times New Roman" w:cs="Times New Roman"/>
          <w:lang w:val="en-US"/>
        </w:rPr>
        <w:t xml:space="preserve">An identical clockwise trend is found for the </w:t>
      </w:r>
      <w:r w:rsidRPr="004D6CAB">
        <w:rPr>
          <w:rFonts w:ascii="Times New Roman" w:hAnsi="Times New Roman" w:cs="Times New Roman"/>
          <w:lang w:val="en-US"/>
        </w:rPr>
        <w:t xml:space="preserve">regional GDP, </w:t>
      </w:r>
      <w:r w:rsidR="00157950">
        <w:rPr>
          <w:rFonts w:ascii="Times New Roman" w:hAnsi="Times New Roman" w:cs="Times New Roman"/>
          <w:lang w:val="en-US"/>
        </w:rPr>
        <w:t xml:space="preserve">which </w:t>
      </w:r>
      <w:r w:rsidRPr="004D6CAB">
        <w:rPr>
          <w:rFonts w:ascii="Times New Roman" w:hAnsi="Times New Roman" w:cs="Times New Roman"/>
          <w:lang w:val="en-US"/>
        </w:rPr>
        <w:t>decreas</w:t>
      </w:r>
      <w:r w:rsidR="00157950">
        <w:rPr>
          <w:rFonts w:ascii="Times New Roman" w:hAnsi="Times New Roman" w:cs="Times New Roman"/>
          <w:lang w:val="en-US"/>
        </w:rPr>
        <w:t>es</w:t>
      </w:r>
      <w:r w:rsidRPr="004D6CAB">
        <w:rPr>
          <w:rFonts w:ascii="Times New Roman" w:hAnsi="Times New Roman" w:cs="Times New Roman"/>
          <w:lang w:val="en-US"/>
        </w:rPr>
        <w:t xml:space="preserve"> from the maximum point</w:t>
      </w:r>
      <w:r w:rsidR="00157950">
        <w:rPr>
          <w:rFonts w:ascii="Times New Roman" w:hAnsi="Times New Roman" w:cs="Times New Roman"/>
          <w:lang w:val="en-US"/>
        </w:rPr>
        <w:t xml:space="preserve"> (recorded in the </w:t>
      </w:r>
      <w:r w:rsidRPr="004D6CAB">
        <w:rPr>
          <w:rFonts w:ascii="Times New Roman" w:hAnsi="Times New Roman" w:cs="Times New Roman"/>
          <w:lang w:val="en-US"/>
        </w:rPr>
        <w:t>capital city</w:t>
      </w:r>
      <w:r w:rsidR="00157950">
        <w:rPr>
          <w:rFonts w:ascii="Times New Roman" w:hAnsi="Times New Roman" w:cs="Times New Roman"/>
          <w:lang w:val="en-US"/>
        </w:rPr>
        <w:t>)</w:t>
      </w:r>
      <w:r w:rsidRPr="004D6CAB">
        <w:rPr>
          <w:rFonts w:ascii="Times New Roman" w:hAnsi="Times New Roman" w:cs="Times New Roman"/>
          <w:lang w:val="en-US"/>
        </w:rPr>
        <w:t xml:space="preserve"> to the minimum point of the </w:t>
      </w:r>
      <w:r w:rsidR="00157950">
        <w:rPr>
          <w:rFonts w:ascii="Times New Roman" w:hAnsi="Times New Roman" w:cs="Times New Roman"/>
          <w:lang w:val="en-US"/>
        </w:rPr>
        <w:t xml:space="preserve">East </w:t>
      </w:r>
      <w:r w:rsidRPr="004D6CAB">
        <w:rPr>
          <w:rFonts w:ascii="Times New Roman" w:hAnsi="Times New Roman" w:cs="Times New Roman"/>
          <w:lang w:val="en-US"/>
        </w:rPr>
        <w:t>region.</w:t>
      </w:r>
    </w:p>
    <w:p w:rsidR="00C06056" w:rsidRPr="004D6CAB" w:rsidRDefault="00C06056" w:rsidP="002862BA">
      <w:pPr>
        <w:spacing w:after="0"/>
        <w:jc w:val="both"/>
        <w:rPr>
          <w:rFonts w:ascii="Times New Roman" w:hAnsi="Times New Roman" w:cs="Times New Roman"/>
        </w:rPr>
      </w:pPr>
    </w:p>
    <w:p w:rsidR="003834DA" w:rsidRPr="004D6CAB" w:rsidRDefault="004D162C" w:rsidP="003834DA">
      <w:pPr>
        <w:spacing w:after="0"/>
        <w:jc w:val="center"/>
        <w:rPr>
          <w:rFonts w:ascii="Times New Roman" w:hAnsi="Times New Roman" w:cs="Times New Roman"/>
          <w:b/>
          <w:i/>
          <w:lang w:val="en-US"/>
        </w:rPr>
      </w:pPr>
      <w:r>
        <w:rPr>
          <w:rFonts w:ascii="Times New Roman" w:hAnsi="Times New Roman" w:cs="Times New Roman"/>
          <w:b/>
          <w:i/>
          <w:lang w:val="en-US"/>
        </w:rPr>
        <w:t>Figure 6</w:t>
      </w:r>
      <w:r w:rsidR="003834DA" w:rsidRPr="004D6CAB">
        <w:rPr>
          <w:rFonts w:ascii="Times New Roman" w:hAnsi="Times New Roman" w:cs="Times New Roman"/>
          <w:b/>
          <w:i/>
          <w:lang w:val="en-US"/>
        </w:rPr>
        <w:t>: Net average pension and the number of retirees in March 2012</w:t>
      </w:r>
    </w:p>
    <w:p w:rsidR="002862BA" w:rsidRPr="004D6CAB" w:rsidRDefault="002862BA" w:rsidP="002862BA">
      <w:pPr>
        <w:spacing w:after="0"/>
        <w:jc w:val="center"/>
        <w:rPr>
          <w:rFonts w:ascii="Times New Roman" w:hAnsi="Times New Roman" w:cs="Times New Roman"/>
          <w:b/>
          <w:i/>
        </w:rPr>
      </w:pPr>
      <w:r w:rsidRPr="004D6CAB">
        <w:rPr>
          <w:rFonts w:ascii="Times New Roman" w:hAnsi="Times New Roman" w:cs="Times New Roman"/>
          <w:b/>
          <w:i/>
          <w:noProof/>
          <w:lang w:val="fr-FR" w:eastAsia="fr-FR"/>
        </w:rPr>
        <w:drawing>
          <wp:inline distT="0" distB="0" distL="0" distR="0">
            <wp:extent cx="4171950" cy="2954781"/>
            <wp:effectExtent l="19050" t="0" r="0" b="0"/>
            <wp:docPr id="9" name="Picture 1" descr="C:\Users\user\Desktop\articol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ticole\Untitled.png"/>
                    <pic:cNvPicPr>
                      <a:picLocks noChangeAspect="1" noChangeArrowheads="1"/>
                    </pic:cNvPicPr>
                  </pic:nvPicPr>
                  <pic:blipFill>
                    <a:blip r:embed="rId18" cstate="print"/>
                    <a:srcRect/>
                    <a:stretch>
                      <a:fillRect/>
                    </a:stretch>
                  </pic:blipFill>
                  <pic:spPr bwMode="auto">
                    <a:xfrm>
                      <a:off x="0" y="0"/>
                      <a:ext cx="4175355" cy="2957192"/>
                    </a:xfrm>
                    <a:prstGeom prst="rect">
                      <a:avLst/>
                    </a:prstGeom>
                    <a:noFill/>
                    <a:ln w="9525">
                      <a:noFill/>
                      <a:miter lim="800000"/>
                      <a:headEnd/>
                      <a:tailEnd/>
                    </a:ln>
                  </pic:spPr>
                </pic:pic>
              </a:graphicData>
            </a:graphic>
          </wp:inline>
        </w:drawing>
      </w:r>
    </w:p>
    <w:p w:rsidR="002862BA" w:rsidRPr="004D6CAB" w:rsidRDefault="002862BA" w:rsidP="002862BA">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calculations based on data from National House of Pensions and Other Social Insurance Rights, </w:t>
      </w:r>
    </w:p>
    <w:p w:rsidR="002862BA" w:rsidRPr="000E7886" w:rsidRDefault="00E83AEE" w:rsidP="002862BA">
      <w:pPr>
        <w:spacing w:after="0"/>
        <w:jc w:val="right"/>
        <w:rPr>
          <w:rFonts w:ascii="Times New Roman" w:hAnsi="Times New Roman" w:cs="Times New Roman"/>
          <w:i/>
          <w:sz w:val="20"/>
          <w:szCs w:val="20"/>
        </w:rPr>
      </w:pPr>
      <w:hyperlink r:id="rId19" w:history="1">
        <w:r w:rsidR="002862BA" w:rsidRPr="000E7886">
          <w:rPr>
            <w:rStyle w:val="Lienhypertexte"/>
            <w:rFonts w:ascii="Times New Roman" w:hAnsi="Times New Roman" w:cs="Times New Roman"/>
            <w:color w:val="auto"/>
            <w:sz w:val="20"/>
            <w:szCs w:val="20"/>
          </w:rPr>
          <w:t>http://www.cnpas.org/portal/mediatype/html/language/ro/user/anon/page/default.psml/template/generic?url=%2Fcontent%2Fcnpas%2Fstatistics.html&amp;title=Indicatori+statistici+pilon+I</w:t>
        </w:r>
      </w:hyperlink>
    </w:p>
    <w:p w:rsidR="002862BA" w:rsidRPr="000E7886" w:rsidRDefault="002862BA" w:rsidP="000E7886">
      <w:pPr>
        <w:spacing w:after="0"/>
        <w:rPr>
          <w:rFonts w:ascii="Times New Roman" w:hAnsi="Times New Roman" w:cs="Times New Roman"/>
          <w:b/>
          <w:i/>
          <w:sz w:val="20"/>
          <w:szCs w:val="20"/>
        </w:rPr>
      </w:pPr>
      <w:r w:rsidRPr="000E7886">
        <w:rPr>
          <w:rFonts w:ascii="Times New Roman" w:hAnsi="Times New Roman" w:cs="Times New Roman"/>
          <w:b/>
          <w:i/>
          <w:sz w:val="20"/>
          <w:szCs w:val="20"/>
        </w:rPr>
        <w:t>Note: Net average pension is expressed in RON and the number of pensioners is expressed in person.</w:t>
      </w:r>
    </w:p>
    <w:p w:rsidR="00DB1D94" w:rsidRDefault="00DB1D94" w:rsidP="008936BD">
      <w:pPr>
        <w:spacing w:after="0"/>
        <w:jc w:val="both"/>
        <w:rPr>
          <w:rFonts w:ascii="Times New Roman" w:hAnsi="Times New Roman" w:cs="Times New Roman"/>
        </w:rPr>
      </w:pPr>
    </w:p>
    <w:p w:rsidR="00285688" w:rsidRPr="004D6CAB" w:rsidRDefault="00285688" w:rsidP="00285688">
      <w:pPr>
        <w:spacing w:after="0"/>
        <w:jc w:val="center"/>
        <w:rPr>
          <w:rFonts w:ascii="Times New Roman" w:hAnsi="Times New Roman" w:cs="Times New Roman"/>
          <w:b/>
          <w:i/>
        </w:rPr>
      </w:pPr>
      <w:r w:rsidRPr="004D6CAB">
        <w:rPr>
          <w:rFonts w:ascii="Times New Roman" w:hAnsi="Times New Roman" w:cs="Times New Roman"/>
          <w:b/>
          <w:i/>
        </w:rPr>
        <w:t xml:space="preserve">Table 1: </w:t>
      </w:r>
      <w:r w:rsidR="004350E2">
        <w:rPr>
          <w:rFonts w:ascii="Times New Roman" w:hAnsi="Times New Roman" w:cs="Times New Roman"/>
          <w:b/>
          <w:i/>
        </w:rPr>
        <w:t>Average pension and number of pensioners by</w:t>
      </w:r>
      <w:r w:rsidRPr="004D6CAB">
        <w:rPr>
          <w:rFonts w:ascii="Times New Roman" w:hAnsi="Times New Roman" w:cs="Times New Roman"/>
          <w:b/>
          <w:i/>
        </w:rPr>
        <w:t xml:space="preserve"> region (March 2012)</w:t>
      </w:r>
    </w:p>
    <w:tbl>
      <w:tblPr>
        <w:tblW w:w="8898" w:type="dxa"/>
        <w:jc w:val="center"/>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3"/>
        <w:gridCol w:w="2163"/>
        <w:gridCol w:w="2622"/>
        <w:gridCol w:w="2520"/>
      </w:tblGrid>
      <w:tr w:rsidR="00285688" w:rsidRPr="004D6CAB" w:rsidTr="00107CBF">
        <w:trPr>
          <w:trHeight w:val="300"/>
          <w:jc w:val="center"/>
        </w:trPr>
        <w:tc>
          <w:tcPr>
            <w:tcW w:w="1593" w:type="dxa"/>
            <w:shd w:val="clear" w:color="auto" w:fill="auto"/>
            <w:noWrap/>
            <w:vAlign w:val="bottom"/>
            <w:hideMark/>
          </w:tcPr>
          <w:p w:rsidR="00285688" w:rsidRPr="004D6CAB" w:rsidRDefault="0041000B" w:rsidP="00BB2F30">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Macro-Region</w:t>
            </w:r>
          </w:p>
        </w:tc>
        <w:tc>
          <w:tcPr>
            <w:tcW w:w="2163" w:type="dxa"/>
            <w:shd w:val="clear" w:color="auto" w:fill="auto"/>
            <w:noWrap/>
            <w:vAlign w:val="bottom"/>
            <w:hideMark/>
          </w:tcPr>
          <w:p w:rsidR="00285688" w:rsidRPr="004D6CAB" w:rsidRDefault="0041000B" w:rsidP="0041000B">
            <w:pPr>
              <w:spacing w:after="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Micro-</w:t>
            </w:r>
            <w:r w:rsidR="00285688" w:rsidRPr="004D6CAB">
              <w:rPr>
                <w:rFonts w:ascii="Times New Roman" w:eastAsia="Times New Roman" w:hAnsi="Times New Roman" w:cs="Times New Roman"/>
                <w:b/>
                <w:i/>
                <w:sz w:val="22"/>
                <w:szCs w:val="22"/>
              </w:rPr>
              <w:t>Region</w:t>
            </w:r>
          </w:p>
        </w:tc>
        <w:tc>
          <w:tcPr>
            <w:tcW w:w="2622" w:type="dxa"/>
            <w:shd w:val="clear" w:color="auto" w:fill="auto"/>
            <w:noWrap/>
            <w:vAlign w:val="bottom"/>
            <w:hideMark/>
          </w:tcPr>
          <w:p w:rsidR="00285688" w:rsidRPr="004D6CAB" w:rsidRDefault="0041000B" w:rsidP="0041000B">
            <w:pPr>
              <w:spacing w:after="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w:t>
            </w:r>
            <w:r w:rsidR="00285688" w:rsidRPr="004D6CAB">
              <w:rPr>
                <w:rFonts w:ascii="Times New Roman" w:eastAsia="Times New Roman" w:hAnsi="Times New Roman" w:cs="Times New Roman"/>
                <w:b/>
                <w:i/>
                <w:sz w:val="22"/>
                <w:szCs w:val="22"/>
              </w:rPr>
              <w:t>verage pension</w:t>
            </w:r>
            <w:r>
              <w:rPr>
                <w:rFonts w:ascii="Times New Roman" w:eastAsia="Times New Roman" w:hAnsi="Times New Roman" w:cs="Times New Roman"/>
                <w:b/>
                <w:i/>
                <w:sz w:val="22"/>
                <w:szCs w:val="22"/>
              </w:rPr>
              <w:t xml:space="preserve"> </w:t>
            </w:r>
            <w:r w:rsidR="00285688" w:rsidRPr="004D6CAB">
              <w:rPr>
                <w:rFonts w:ascii="Times New Roman" w:eastAsia="Times New Roman" w:hAnsi="Times New Roman" w:cs="Times New Roman"/>
                <w:b/>
                <w:i/>
                <w:sz w:val="22"/>
                <w:szCs w:val="22"/>
              </w:rPr>
              <w:t xml:space="preserve"> </w:t>
            </w:r>
            <w:r>
              <w:rPr>
                <w:rFonts w:ascii="Times New Roman" w:eastAsia="Times New Roman" w:hAnsi="Times New Roman" w:cs="Times New Roman"/>
                <w:b/>
                <w:i/>
                <w:sz w:val="22"/>
                <w:szCs w:val="22"/>
              </w:rPr>
              <w:t>(</w:t>
            </w:r>
            <w:r w:rsidR="00285688" w:rsidRPr="004D6CAB">
              <w:rPr>
                <w:rFonts w:ascii="Times New Roman" w:eastAsia="Times New Roman" w:hAnsi="Times New Roman" w:cs="Times New Roman"/>
                <w:b/>
                <w:i/>
                <w:sz w:val="22"/>
                <w:szCs w:val="22"/>
              </w:rPr>
              <w:t>RON</w:t>
            </w:r>
            <w:r>
              <w:rPr>
                <w:rFonts w:ascii="Times New Roman" w:eastAsia="Times New Roman" w:hAnsi="Times New Roman" w:cs="Times New Roman"/>
                <w:b/>
                <w:i/>
                <w:sz w:val="22"/>
                <w:szCs w:val="22"/>
              </w:rPr>
              <w:t>)</w:t>
            </w:r>
          </w:p>
        </w:tc>
        <w:tc>
          <w:tcPr>
            <w:tcW w:w="2520" w:type="dxa"/>
            <w:shd w:val="clear" w:color="auto" w:fill="auto"/>
            <w:noWrap/>
            <w:vAlign w:val="bottom"/>
            <w:hideMark/>
          </w:tcPr>
          <w:p w:rsidR="00285688" w:rsidRPr="004D6CAB" w:rsidRDefault="0041000B" w:rsidP="0041000B">
            <w:pPr>
              <w:spacing w:after="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Number of pensioners</w:t>
            </w:r>
          </w:p>
        </w:tc>
      </w:tr>
      <w:tr w:rsidR="004350E2" w:rsidRPr="004D6CAB" w:rsidTr="00107CBF">
        <w:trPr>
          <w:trHeight w:val="300"/>
          <w:jc w:val="center"/>
        </w:trPr>
        <w:tc>
          <w:tcPr>
            <w:tcW w:w="1593" w:type="dxa"/>
            <w:vMerge w:val="restart"/>
            <w:shd w:val="clear" w:color="auto" w:fill="auto"/>
            <w:noWrap/>
            <w:vAlign w:val="center"/>
            <w:hideMark/>
          </w:tcPr>
          <w:p w:rsidR="004350E2" w:rsidRPr="004D6CAB" w:rsidRDefault="004350E2" w:rsidP="004350E2">
            <w:pPr>
              <w:spacing w:after="0"/>
              <w:rPr>
                <w:rFonts w:ascii="Times New Roman" w:eastAsia="Times New Roman" w:hAnsi="Times New Roman" w:cs="Times New Roman"/>
                <w:b/>
                <w:sz w:val="22"/>
                <w:szCs w:val="22"/>
              </w:rPr>
            </w:pPr>
            <w:r w:rsidRPr="004D6CAB">
              <w:rPr>
                <w:rFonts w:ascii="Times New Roman" w:eastAsia="Times New Roman" w:hAnsi="Times New Roman" w:cs="Times New Roman"/>
                <w:b/>
                <w:sz w:val="22"/>
                <w:szCs w:val="22"/>
              </w:rPr>
              <w:t>MR1</w:t>
            </w:r>
          </w:p>
        </w:tc>
        <w:tc>
          <w:tcPr>
            <w:tcW w:w="2163" w:type="dxa"/>
            <w:shd w:val="clear" w:color="auto" w:fill="auto"/>
            <w:noWrap/>
            <w:vAlign w:val="bottom"/>
            <w:hideMark/>
          </w:tcPr>
          <w:p w:rsidR="004350E2" w:rsidRPr="004D6CAB" w:rsidRDefault="00107CBF" w:rsidP="00BB2F30">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Centre</w:t>
            </w:r>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792</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577</w:t>
            </w:r>
            <w:r w:rsidR="004350E2" w:rsidRPr="004D6CAB">
              <w:rPr>
                <w:rFonts w:ascii="Times New Roman" w:eastAsia="Times New Roman" w:hAnsi="Times New Roman" w:cs="Times New Roman"/>
                <w:sz w:val="22"/>
                <w:szCs w:val="22"/>
              </w:rPr>
              <w:t>848</w:t>
            </w:r>
          </w:p>
        </w:tc>
      </w:tr>
      <w:tr w:rsidR="004350E2" w:rsidRPr="004D6CAB" w:rsidTr="00107CBF">
        <w:trPr>
          <w:trHeight w:val="300"/>
          <w:jc w:val="center"/>
        </w:trPr>
        <w:tc>
          <w:tcPr>
            <w:tcW w:w="1593" w:type="dxa"/>
            <w:vMerge/>
            <w:shd w:val="clear" w:color="auto" w:fill="auto"/>
            <w:noWrap/>
            <w:vAlign w:val="bottom"/>
            <w:hideMark/>
          </w:tcPr>
          <w:p w:rsidR="004350E2" w:rsidRPr="004D6CAB" w:rsidRDefault="004350E2" w:rsidP="00BB2F30">
            <w:pPr>
              <w:spacing w:after="0"/>
              <w:rPr>
                <w:rFonts w:ascii="Times New Roman" w:eastAsia="Times New Roman" w:hAnsi="Times New Roman" w:cs="Times New Roman"/>
                <w:b/>
                <w:sz w:val="22"/>
                <w:szCs w:val="22"/>
              </w:rPr>
            </w:pPr>
          </w:p>
        </w:tc>
        <w:tc>
          <w:tcPr>
            <w:tcW w:w="2163" w:type="dxa"/>
            <w:shd w:val="clear" w:color="auto" w:fill="auto"/>
            <w:noWrap/>
            <w:vAlign w:val="bottom"/>
            <w:hideMark/>
          </w:tcPr>
          <w:p w:rsidR="004350E2" w:rsidRPr="004D6CAB" w:rsidRDefault="004350E2" w:rsidP="00107CBF">
            <w:pPr>
              <w:spacing w:after="0"/>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N</w:t>
            </w:r>
            <w:r w:rsidR="00107CBF">
              <w:rPr>
                <w:rFonts w:ascii="Times New Roman" w:eastAsia="Times New Roman" w:hAnsi="Times New Roman" w:cs="Times New Roman"/>
                <w:sz w:val="22"/>
                <w:szCs w:val="22"/>
              </w:rPr>
              <w:t>orth-West</w:t>
            </w:r>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727</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395</w:t>
            </w:r>
            <w:r w:rsidR="004350E2" w:rsidRPr="004D6CAB">
              <w:rPr>
                <w:rFonts w:ascii="Times New Roman" w:eastAsia="Times New Roman" w:hAnsi="Times New Roman" w:cs="Times New Roman"/>
                <w:sz w:val="22"/>
                <w:szCs w:val="22"/>
              </w:rPr>
              <w:t>675</w:t>
            </w:r>
          </w:p>
        </w:tc>
      </w:tr>
      <w:tr w:rsidR="004350E2" w:rsidRPr="004D6CAB" w:rsidTr="00107CBF">
        <w:trPr>
          <w:trHeight w:val="300"/>
          <w:jc w:val="center"/>
        </w:trPr>
        <w:tc>
          <w:tcPr>
            <w:tcW w:w="1593" w:type="dxa"/>
            <w:vMerge w:val="restart"/>
            <w:shd w:val="clear" w:color="auto" w:fill="auto"/>
            <w:noWrap/>
            <w:vAlign w:val="center"/>
            <w:hideMark/>
          </w:tcPr>
          <w:p w:rsidR="004350E2" w:rsidRPr="004D6CAB" w:rsidRDefault="004350E2" w:rsidP="004350E2">
            <w:pPr>
              <w:spacing w:after="0"/>
              <w:rPr>
                <w:rFonts w:ascii="Times New Roman" w:eastAsia="Times New Roman" w:hAnsi="Times New Roman" w:cs="Times New Roman"/>
                <w:b/>
                <w:sz w:val="22"/>
                <w:szCs w:val="22"/>
              </w:rPr>
            </w:pPr>
            <w:r w:rsidRPr="004D6CAB">
              <w:rPr>
                <w:rFonts w:ascii="Times New Roman" w:eastAsia="Times New Roman" w:hAnsi="Times New Roman" w:cs="Times New Roman"/>
                <w:b/>
                <w:sz w:val="22"/>
                <w:szCs w:val="22"/>
              </w:rPr>
              <w:t>MR2</w:t>
            </w:r>
          </w:p>
        </w:tc>
        <w:tc>
          <w:tcPr>
            <w:tcW w:w="2163" w:type="dxa"/>
            <w:shd w:val="clear" w:color="auto" w:fill="auto"/>
            <w:noWrap/>
            <w:vAlign w:val="bottom"/>
            <w:hideMark/>
          </w:tcPr>
          <w:p w:rsidR="004350E2" w:rsidRPr="004D6CAB" w:rsidRDefault="004350E2" w:rsidP="00107CBF">
            <w:pPr>
              <w:spacing w:after="0"/>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N</w:t>
            </w:r>
            <w:r w:rsidR="00107CBF">
              <w:rPr>
                <w:rFonts w:ascii="Times New Roman" w:eastAsia="Times New Roman" w:hAnsi="Times New Roman" w:cs="Times New Roman"/>
                <w:sz w:val="22"/>
                <w:szCs w:val="22"/>
              </w:rPr>
              <w:t>orth-East</w:t>
            </w:r>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710</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493</w:t>
            </w:r>
            <w:r w:rsidR="004350E2" w:rsidRPr="004D6CAB">
              <w:rPr>
                <w:rFonts w:ascii="Times New Roman" w:eastAsia="Times New Roman" w:hAnsi="Times New Roman" w:cs="Times New Roman"/>
                <w:sz w:val="22"/>
                <w:szCs w:val="22"/>
              </w:rPr>
              <w:t>213</w:t>
            </w:r>
          </w:p>
        </w:tc>
      </w:tr>
      <w:tr w:rsidR="004350E2" w:rsidRPr="004D6CAB" w:rsidTr="00107CBF">
        <w:trPr>
          <w:trHeight w:val="300"/>
          <w:jc w:val="center"/>
        </w:trPr>
        <w:tc>
          <w:tcPr>
            <w:tcW w:w="1593" w:type="dxa"/>
            <w:vMerge/>
            <w:shd w:val="clear" w:color="auto" w:fill="auto"/>
            <w:noWrap/>
            <w:vAlign w:val="bottom"/>
            <w:hideMark/>
          </w:tcPr>
          <w:p w:rsidR="004350E2" w:rsidRPr="004D6CAB" w:rsidRDefault="004350E2" w:rsidP="00BB2F30">
            <w:pPr>
              <w:spacing w:after="0"/>
              <w:rPr>
                <w:rFonts w:ascii="Times New Roman" w:eastAsia="Times New Roman" w:hAnsi="Times New Roman" w:cs="Times New Roman"/>
                <w:b/>
                <w:sz w:val="22"/>
                <w:szCs w:val="22"/>
              </w:rPr>
            </w:pPr>
          </w:p>
        </w:tc>
        <w:tc>
          <w:tcPr>
            <w:tcW w:w="2163" w:type="dxa"/>
            <w:shd w:val="clear" w:color="auto" w:fill="auto"/>
            <w:noWrap/>
            <w:vAlign w:val="bottom"/>
            <w:hideMark/>
          </w:tcPr>
          <w:p w:rsidR="004350E2" w:rsidRPr="004D6CAB" w:rsidRDefault="004350E2" w:rsidP="00BB2F30">
            <w:pPr>
              <w:spacing w:after="0"/>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S</w:t>
            </w:r>
            <w:r w:rsidR="00107CBF">
              <w:rPr>
                <w:rFonts w:ascii="Times New Roman" w:eastAsia="Times New Roman" w:hAnsi="Times New Roman" w:cs="Times New Roman"/>
                <w:sz w:val="22"/>
                <w:szCs w:val="22"/>
              </w:rPr>
              <w:t>outh-</w:t>
            </w:r>
            <w:r w:rsidRPr="004D6CAB">
              <w:rPr>
                <w:rFonts w:ascii="Times New Roman" w:eastAsia="Times New Roman" w:hAnsi="Times New Roman" w:cs="Times New Roman"/>
                <w:sz w:val="22"/>
                <w:szCs w:val="22"/>
              </w:rPr>
              <w:t>E</w:t>
            </w:r>
            <w:r w:rsidR="00107CBF">
              <w:rPr>
                <w:rFonts w:ascii="Times New Roman" w:eastAsia="Times New Roman" w:hAnsi="Times New Roman" w:cs="Times New Roman"/>
                <w:sz w:val="22"/>
                <w:szCs w:val="22"/>
              </w:rPr>
              <w:t>ast</w:t>
            </w:r>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733</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353</w:t>
            </w:r>
            <w:r w:rsidR="004350E2" w:rsidRPr="004D6CAB">
              <w:rPr>
                <w:rFonts w:ascii="Times New Roman" w:eastAsia="Times New Roman" w:hAnsi="Times New Roman" w:cs="Times New Roman"/>
                <w:sz w:val="22"/>
                <w:szCs w:val="22"/>
              </w:rPr>
              <w:t>560</w:t>
            </w:r>
          </w:p>
        </w:tc>
      </w:tr>
      <w:tr w:rsidR="004350E2" w:rsidRPr="004D6CAB" w:rsidTr="00107CBF">
        <w:trPr>
          <w:trHeight w:val="300"/>
          <w:jc w:val="center"/>
        </w:trPr>
        <w:tc>
          <w:tcPr>
            <w:tcW w:w="1593" w:type="dxa"/>
            <w:vMerge w:val="restart"/>
            <w:shd w:val="clear" w:color="auto" w:fill="auto"/>
            <w:noWrap/>
            <w:vAlign w:val="center"/>
            <w:hideMark/>
          </w:tcPr>
          <w:p w:rsidR="004350E2" w:rsidRPr="004D6CAB" w:rsidRDefault="004350E2" w:rsidP="004350E2">
            <w:pPr>
              <w:spacing w:after="0"/>
              <w:rPr>
                <w:rFonts w:ascii="Times New Roman" w:eastAsia="Times New Roman" w:hAnsi="Times New Roman" w:cs="Times New Roman"/>
                <w:b/>
                <w:sz w:val="22"/>
                <w:szCs w:val="22"/>
              </w:rPr>
            </w:pPr>
            <w:r w:rsidRPr="004D6CAB">
              <w:rPr>
                <w:rFonts w:ascii="Times New Roman" w:eastAsia="Times New Roman" w:hAnsi="Times New Roman" w:cs="Times New Roman"/>
                <w:b/>
                <w:sz w:val="22"/>
                <w:szCs w:val="22"/>
              </w:rPr>
              <w:t>MR3</w:t>
            </w:r>
          </w:p>
        </w:tc>
        <w:tc>
          <w:tcPr>
            <w:tcW w:w="2163" w:type="dxa"/>
            <w:shd w:val="clear" w:color="auto" w:fill="auto"/>
            <w:noWrap/>
            <w:vAlign w:val="bottom"/>
            <w:hideMark/>
          </w:tcPr>
          <w:p w:rsidR="004350E2" w:rsidRPr="004D6CAB" w:rsidRDefault="004350E2" w:rsidP="00BB2F30">
            <w:pPr>
              <w:spacing w:after="0"/>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S</w:t>
            </w:r>
            <w:r w:rsidR="00107CBF">
              <w:rPr>
                <w:rFonts w:ascii="Times New Roman" w:eastAsia="Times New Roman" w:hAnsi="Times New Roman" w:cs="Times New Roman"/>
                <w:sz w:val="22"/>
                <w:szCs w:val="22"/>
              </w:rPr>
              <w:t xml:space="preserve">outh </w:t>
            </w:r>
            <w:proofErr w:type="spellStart"/>
            <w:r w:rsidRPr="004D6CAB">
              <w:rPr>
                <w:rFonts w:ascii="Times New Roman" w:eastAsia="Times New Roman" w:hAnsi="Times New Roman" w:cs="Times New Roman"/>
                <w:sz w:val="22"/>
                <w:szCs w:val="22"/>
              </w:rPr>
              <w:t>M</w:t>
            </w:r>
            <w:r w:rsidR="00107CBF">
              <w:rPr>
                <w:rFonts w:ascii="Times New Roman" w:eastAsia="Times New Roman" w:hAnsi="Times New Roman" w:cs="Times New Roman"/>
                <w:sz w:val="22"/>
                <w:szCs w:val="22"/>
              </w:rPr>
              <w:t>untenia</w:t>
            </w:r>
            <w:proofErr w:type="spellEnd"/>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b/>
                <w:i/>
                <w:sz w:val="22"/>
                <w:szCs w:val="22"/>
              </w:rPr>
            </w:pPr>
            <w:r w:rsidRPr="004D6CAB">
              <w:rPr>
                <w:rFonts w:ascii="Times New Roman" w:eastAsia="Times New Roman" w:hAnsi="Times New Roman" w:cs="Times New Roman"/>
                <w:b/>
                <w:i/>
                <w:sz w:val="22"/>
                <w:szCs w:val="22"/>
              </w:rPr>
              <w:t>707</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493</w:t>
            </w:r>
            <w:r w:rsidR="004350E2" w:rsidRPr="004D6CAB">
              <w:rPr>
                <w:rFonts w:ascii="Times New Roman" w:eastAsia="Times New Roman" w:hAnsi="Times New Roman" w:cs="Times New Roman"/>
                <w:sz w:val="22"/>
                <w:szCs w:val="22"/>
              </w:rPr>
              <w:t>213</w:t>
            </w:r>
          </w:p>
        </w:tc>
      </w:tr>
      <w:tr w:rsidR="004350E2" w:rsidRPr="004D6CAB" w:rsidTr="00107CBF">
        <w:trPr>
          <w:trHeight w:val="300"/>
          <w:jc w:val="center"/>
        </w:trPr>
        <w:tc>
          <w:tcPr>
            <w:tcW w:w="1593" w:type="dxa"/>
            <w:vMerge/>
            <w:shd w:val="clear" w:color="auto" w:fill="auto"/>
            <w:noWrap/>
            <w:vAlign w:val="bottom"/>
            <w:hideMark/>
          </w:tcPr>
          <w:p w:rsidR="004350E2" w:rsidRPr="004D6CAB" w:rsidRDefault="004350E2" w:rsidP="00BB2F30">
            <w:pPr>
              <w:spacing w:after="0"/>
              <w:rPr>
                <w:rFonts w:ascii="Times New Roman" w:eastAsia="Times New Roman" w:hAnsi="Times New Roman" w:cs="Times New Roman"/>
                <w:b/>
                <w:sz w:val="22"/>
                <w:szCs w:val="22"/>
              </w:rPr>
            </w:pPr>
          </w:p>
        </w:tc>
        <w:tc>
          <w:tcPr>
            <w:tcW w:w="2163" w:type="dxa"/>
            <w:shd w:val="clear" w:color="auto" w:fill="auto"/>
            <w:noWrap/>
            <w:vAlign w:val="bottom"/>
            <w:hideMark/>
          </w:tcPr>
          <w:p w:rsidR="004350E2" w:rsidRPr="004D6CAB" w:rsidRDefault="004350E2" w:rsidP="00BB2F30">
            <w:pPr>
              <w:spacing w:after="0"/>
              <w:rPr>
                <w:rFonts w:ascii="Times New Roman" w:eastAsia="Times New Roman" w:hAnsi="Times New Roman" w:cs="Times New Roman"/>
                <w:sz w:val="22"/>
                <w:szCs w:val="22"/>
              </w:rPr>
            </w:pPr>
            <w:proofErr w:type="spellStart"/>
            <w:r w:rsidRPr="004D6CAB">
              <w:rPr>
                <w:rFonts w:ascii="Times New Roman" w:eastAsia="Times New Roman" w:hAnsi="Times New Roman" w:cs="Times New Roman"/>
                <w:sz w:val="22"/>
                <w:szCs w:val="22"/>
              </w:rPr>
              <w:t>B</w:t>
            </w:r>
            <w:r w:rsidR="00107CBF">
              <w:rPr>
                <w:rFonts w:ascii="Times New Roman" w:eastAsia="Times New Roman" w:hAnsi="Times New Roman" w:cs="Times New Roman"/>
                <w:sz w:val="22"/>
                <w:szCs w:val="22"/>
              </w:rPr>
              <w:t>ucuresti-</w:t>
            </w:r>
            <w:r w:rsidRPr="004D6CAB">
              <w:rPr>
                <w:rFonts w:ascii="Times New Roman" w:eastAsia="Times New Roman" w:hAnsi="Times New Roman" w:cs="Times New Roman"/>
                <w:sz w:val="22"/>
                <w:szCs w:val="22"/>
              </w:rPr>
              <w:t>I</w:t>
            </w:r>
            <w:r w:rsidR="00107CBF">
              <w:rPr>
                <w:rFonts w:ascii="Times New Roman" w:eastAsia="Times New Roman" w:hAnsi="Times New Roman" w:cs="Times New Roman"/>
                <w:sz w:val="22"/>
                <w:szCs w:val="22"/>
              </w:rPr>
              <w:t>lfov</w:t>
            </w:r>
            <w:proofErr w:type="spellEnd"/>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b/>
                <w:sz w:val="22"/>
                <w:szCs w:val="22"/>
              </w:rPr>
            </w:pPr>
            <w:r w:rsidRPr="004D6CAB">
              <w:rPr>
                <w:rFonts w:ascii="Times New Roman" w:eastAsia="Times New Roman" w:hAnsi="Times New Roman" w:cs="Times New Roman"/>
                <w:b/>
                <w:sz w:val="22"/>
                <w:szCs w:val="22"/>
              </w:rPr>
              <w:t>846</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562</w:t>
            </w:r>
            <w:r w:rsidR="004350E2" w:rsidRPr="004D6CAB">
              <w:rPr>
                <w:rFonts w:ascii="Times New Roman" w:eastAsia="Times New Roman" w:hAnsi="Times New Roman" w:cs="Times New Roman"/>
                <w:sz w:val="22"/>
                <w:szCs w:val="22"/>
              </w:rPr>
              <w:t>273</w:t>
            </w:r>
          </w:p>
        </w:tc>
      </w:tr>
      <w:tr w:rsidR="004350E2" w:rsidRPr="004D6CAB" w:rsidTr="00107CBF">
        <w:trPr>
          <w:trHeight w:val="300"/>
          <w:jc w:val="center"/>
        </w:trPr>
        <w:tc>
          <w:tcPr>
            <w:tcW w:w="1593" w:type="dxa"/>
            <w:vMerge w:val="restart"/>
            <w:shd w:val="clear" w:color="auto" w:fill="auto"/>
            <w:noWrap/>
            <w:vAlign w:val="center"/>
            <w:hideMark/>
          </w:tcPr>
          <w:p w:rsidR="004350E2" w:rsidRPr="004D6CAB" w:rsidRDefault="004350E2" w:rsidP="004350E2">
            <w:pPr>
              <w:spacing w:after="0"/>
              <w:rPr>
                <w:rFonts w:ascii="Times New Roman" w:eastAsia="Times New Roman" w:hAnsi="Times New Roman" w:cs="Times New Roman"/>
                <w:b/>
                <w:sz w:val="22"/>
                <w:szCs w:val="22"/>
              </w:rPr>
            </w:pPr>
            <w:r w:rsidRPr="004D6CAB">
              <w:rPr>
                <w:rFonts w:ascii="Times New Roman" w:eastAsia="Times New Roman" w:hAnsi="Times New Roman" w:cs="Times New Roman"/>
                <w:b/>
                <w:sz w:val="22"/>
                <w:szCs w:val="22"/>
              </w:rPr>
              <w:t>MR4</w:t>
            </w:r>
          </w:p>
        </w:tc>
        <w:tc>
          <w:tcPr>
            <w:tcW w:w="2163" w:type="dxa"/>
            <w:shd w:val="clear" w:color="auto" w:fill="auto"/>
            <w:noWrap/>
            <w:vAlign w:val="bottom"/>
            <w:hideMark/>
          </w:tcPr>
          <w:p w:rsidR="004350E2" w:rsidRPr="004D6CAB" w:rsidRDefault="004350E2" w:rsidP="00107CBF">
            <w:pPr>
              <w:spacing w:after="0"/>
              <w:rPr>
                <w:rFonts w:ascii="Times New Roman" w:eastAsia="Times New Roman" w:hAnsi="Times New Roman" w:cs="Times New Roman"/>
                <w:sz w:val="22"/>
                <w:szCs w:val="22"/>
              </w:rPr>
            </w:pPr>
            <w:proofErr w:type="spellStart"/>
            <w:r w:rsidRPr="004D6CAB">
              <w:rPr>
                <w:rFonts w:ascii="Times New Roman" w:eastAsia="Times New Roman" w:hAnsi="Times New Roman" w:cs="Times New Roman"/>
                <w:sz w:val="22"/>
                <w:szCs w:val="22"/>
              </w:rPr>
              <w:t>S</w:t>
            </w:r>
            <w:r w:rsidR="00107CBF">
              <w:rPr>
                <w:rFonts w:ascii="Times New Roman" w:eastAsia="Times New Roman" w:hAnsi="Times New Roman" w:cs="Times New Roman"/>
                <w:sz w:val="22"/>
                <w:szCs w:val="22"/>
              </w:rPr>
              <w:t>owth</w:t>
            </w:r>
            <w:proofErr w:type="spellEnd"/>
            <w:r w:rsidR="00107CBF">
              <w:rPr>
                <w:rFonts w:ascii="Times New Roman" w:eastAsia="Times New Roman" w:hAnsi="Times New Roman" w:cs="Times New Roman"/>
                <w:sz w:val="22"/>
                <w:szCs w:val="22"/>
              </w:rPr>
              <w:t xml:space="preserve">-West </w:t>
            </w:r>
            <w:proofErr w:type="spellStart"/>
            <w:r w:rsidR="00107CBF">
              <w:rPr>
                <w:rFonts w:ascii="Times New Roman" w:eastAsia="Times New Roman" w:hAnsi="Times New Roman" w:cs="Times New Roman"/>
                <w:sz w:val="22"/>
                <w:szCs w:val="22"/>
              </w:rPr>
              <w:t>Oltenia</w:t>
            </w:r>
            <w:proofErr w:type="spellEnd"/>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729</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309</w:t>
            </w:r>
            <w:r w:rsidR="004350E2" w:rsidRPr="004D6CAB">
              <w:rPr>
                <w:rFonts w:ascii="Times New Roman" w:eastAsia="Times New Roman" w:hAnsi="Times New Roman" w:cs="Times New Roman"/>
                <w:sz w:val="22"/>
                <w:szCs w:val="22"/>
              </w:rPr>
              <w:t>193</w:t>
            </w:r>
          </w:p>
        </w:tc>
      </w:tr>
      <w:tr w:rsidR="004350E2" w:rsidRPr="004D6CAB" w:rsidTr="00107CBF">
        <w:trPr>
          <w:trHeight w:val="300"/>
          <w:jc w:val="center"/>
        </w:trPr>
        <w:tc>
          <w:tcPr>
            <w:tcW w:w="1593" w:type="dxa"/>
            <w:vMerge/>
            <w:shd w:val="clear" w:color="auto" w:fill="auto"/>
            <w:noWrap/>
            <w:vAlign w:val="bottom"/>
            <w:hideMark/>
          </w:tcPr>
          <w:p w:rsidR="004350E2" w:rsidRPr="004D6CAB" w:rsidRDefault="004350E2" w:rsidP="00BB2F30">
            <w:pPr>
              <w:spacing w:after="0"/>
              <w:rPr>
                <w:rFonts w:ascii="Times New Roman" w:eastAsia="Times New Roman" w:hAnsi="Times New Roman" w:cs="Times New Roman"/>
                <w:b/>
                <w:sz w:val="22"/>
                <w:szCs w:val="22"/>
              </w:rPr>
            </w:pPr>
          </w:p>
        </w:tc>
        <w:tc>
          <w:tcPr>
            <w:tcW w:w="2163" w:type="dxa"/>
            <w:shd w:val="clear" w:color="auto" w:fill="auto"/>
            <w:noWrap/>
            <w:vAlign w:val="bottom"/>
            <w:hideMark/>
          </w:tcPr>
          <w:p w:rsidR="004350E2" w:rsidRPr="004D6CAB" w:rsidRDefault="00107CBF" w:rsidP="00BB2F30">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West</w:t>
            </w:r>
          </w:p>
        </w:tc>
        <w:tc>
          <w:tcPr>
            <w:tcW w:w="2622" w:type="dxa"/>
            <w:shd w:val="clear" w:color="auto" w:fill="auto"/>
            <w:noWrap/>
            <w:vAlign w:val="bottom"/>
            <w:hideMark/>
          </w:tcPr>
          <w:p w:rsidR="004350E2" w:rsidRPr="004D6CAB" w:rsidRDefault="004350E2" w:rsidP="00CD4D8B">
            <w:pPr>
              <w:spacing w:after="0"/>
              <w:jc w:val="center"/>
              <w:rPr>
                <w:rFonts w:ascii="Times New Roman" w:eastAsia="Times New Roman" w:hAnsi="Times New Roman" w:cs="Times New Roman"/>
                <w:sz w:val="22"/>
                <w:szCs w:val="22"/>
              </w:rPr>
            </w:pPr>
            <w:r w:rsidRPr="004D6CAB">
              <w:rPr>
                <w:rFonts w:ascii="Times New Roman" w:eastAsia="Times New Roman" w:hAnsi="Times New Roman" w:cs="Times New Roman"/>
                <w:sz w:val="22"/>
                <w:szCs w:val="22"/>
              </w:rPr>
              <w:t>811</w:t>
            </w:r>
          </w:p>
        </w:tc>
        <w:tc>
          <w:tcPr>
            <w:tcW w:w="2520" w:type="dxa"/>
            <w:shd w:val="clear" w:color="auto" w:fill="auto"/>
            <w:noWrap/>
            <w:vAlign w:val="bottom"/>
            <w:hideMark/>
          </w:tcPr>
          <w:p w:rsidR="004350E2" w:rsidRPr="004D6CAB" w:rsidRDefault="00CD4D8B" w:rsidP="00CD4D8B">
            <w:pPr>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452</w:t>
            </w:r>
            <w:r w:rsidR="004350E2" w:rsidRPr="004D6CAB">
              <w:rPr>
                <w:rFonts w:ascii="Times New Roman" w:eastAsia="Times New Roman" w:hAnsi="Times New Roman" w:cs="Times New Roman"/>
                <w:sz w:val="22"/>
                <w:szCs w:val="22"/>
              </w:rPr>
              <w:t>653</w:t>
            </w:r>
          </w:p>
        </w:tc>
      </w:tr>
    </w:tbl>
    <w:p w:rsidR="00285688" w:rsidRPr="004D6CAB" w:rsidRDefault="00285688" w:rsidP="00285688">
      <w:pPr>
        <w:spacing w:after="0"/>
        <w:jc w:val="right"/>
        <w:rPr>
          <w:rFonts w:ascii="Times New Roman" w:hAnsi="Times New Roman" w:cs="Times New Roman"/>
          <w:i/>
          <w:sz w:val="20"/>
          <w:szCs w:val="20"/>
        </w:rPr>
      </w:pPr>
      <w:r w:rsidRPr="004D6CAB">
        <w:rPr>
          <w:rFonts w:ascii="Times New Roman" w:hAnsi="Times New Roman" w:cs="Times New Roman"/>
          <w:i/>
          <w:sz w:val="20"/>
          <w:szCs w:val="20"/>
        </w:rPr>
        <w:t>Source:</w:t>
      </w:r>
      <w:r w:rsidRPr="004D6CAB">
        <w:rPr>
          <w:rFonts w:ascii="Times New Roman" w:hAnsi="Times New Roman" w:cs="Times New Roman"/>
          <w:b/>
          <w:i/>
          <w:sz w:val="20"/>
          <w:szCs w:val="20"/>
        </w:rPr>
        <w:t xml:space="preserve"> </w:t>
      </w:r>
      <w:r w:rsidRPr="004D6CAB">
        <w:rPr>
          <w:rFonts w:ascii="Times New Roman" w:hAnsi="Times New Roman" w:cs="Times New Roman"/>
          <w:i/>
          <w:sz w:val="20"/>
          <w:szCs w:val="20"/>
        </w:rPr>
        <w:t xml:space="preserve">calculations based on data from National House of Pensions and Other Social Insurance Rights, </w:t>
      </w:r>
    </w:p>
    <w:p w:rsidR="003834DA" w:rsidRPr="004350E2" w:rsidRDefault="00285688" w:rsidP="004350E2">
      <w:pPr>
        <w:spacing w:after="0"/>
        <w:jc w:val="right"/>
        <w:rPr>
          <w:rFonts w:ascii="Times New Roman" w:hAnsi="Times New Roman" w:cs="Times New Roman"/>
          <w:sz w:val="20"/>
          <w:szCs w:val="20"/>
        </w:rPr>
      </w:pPr>
      <w:hyperlink r:id="rId20" w:history="1">
        <w:r w:rsidRPr="004350E2">
          <w:rPr>
            <w:rStyle w:val="Lienhypertexte"/>
            <w:rFonts w:ascii="Times New Roman" w:hAnsi="Times New Roman" w:cs="Times New Roman"/>
            <w:color w:val="auto"/>
            <w:sz w:val="20"/>
            <w:szCs w:val="20"/>
          </w:rPr>
          <w:t>http://www.cnpas.org/portal/mediatype/html/language/ro/user/anon/page/default.psml/template/generic?url=%2Fcontent%2Fcnpas%2Fstatistics.html&amp;title=Indicatori+statistici+pilon+I</w:t>
        </w:r>
      </w:hyperlink>
    </w:p>
    <w:p w:rsidR="00285688" w:rsidRDefault="00E974BA" w:rsidP="00285688">
      <w:pPr>
        <w:spacing w:after="0"/>
        <w:jc w:val="both"/>
        <w:rPr>
          <w:rFonts w:ascii="Times New Roman" w:hAnsi="Times New Roman" w:cs="Times New Roman"/>
          <w:lang w:val="en-US"/>
        </w:rPr>
      </w:pPr>
      <w:r>
        <w:rPr>
          <w:rFonts w:ascii="Times New Roman" w:hAnsi="Times New Roman" w:cs="Times New Roman"/>
          <w:lang w:val="en-US"/>
        </w:rPr>
        <w:lastRenderedPageBreak/>
        <w:t>At more disaggregated territorial level</w:t>
      </w:r>
      <w:r w:rsidR="002A215C">
        <w:rPr>
          <w:rFonts w:ascii="Times New Roman" w:hAnsi="Times New Roman" w:cs="Times New Roman"/>
          <w:lang w:val="en-US"/>
        </w:rPr>
        <w:t xml:space="preserve"> (</w:t>
      </w:r>
      <w:r>
        <w:rPr>
          <w:rFonts w:ascii="Times New Roman" w:hAnsi="Times New Roman" w:cs="Times New Roman"/>
          <w:lang w:val="en-US"/>
        </w:rPr>
        <w:t>8 regions</w:t>
      </w:r>
      <w:r w:rsidR="002A215C">
        <w:rPr>
          <w:rFonts w:ascii="Times New Roman" w:hAnsi="Times New Roman" w:cs="Times New Roman"/>
          <w:lang w:val="en-US"/>
        </w:rPr>
        <w:t>)</w:t>
      </w:r>
      <w:r>
        <w:rPr>
          <w:rFonts w:ascii="Times New Roman" w:hAnsi="Times New Roman" w:cs="Times New Roman"/>
          <w:lang w:val="en-US"/>
        </w:rPr>
        <w:t xml:space="preserve"> the </w:t>
      </w:r>
      <w:r w:rsidRPr="004D6CAB">
        <w:rPr>
          <w:rFonts w:ascii="Times New Roman" w:hAnsi="Times New Roman" w:cs="Times New Roman"/>
          <w:lang w:val="en-US"/>
        </w:rPr>
        <w:t xml:space="preserve">highest level of average pension </w:t>
      </w:r>
      <w:r>
        <w:rPr>
          <w:rFonts w:ascii="Times New Roman" w:hAnsi="Times New Roman" w:cs="Times New Roman"/>
          <w:lang w:val="en-US"/>
        </w:rPr>
        <w:t xml:space="preserve">exists in </w:t>
      </w:r>
      <w:r w:rsidRPr="004D6CAB">
        <w:rPr>
          <w:rFonts w:ascii="Times New Roman" w:hAnsi="Times New Roman" w:cs="Times New Roman"/>
          <w:lang w:val="en-US"/>
        </w:rPr>
        <w:t xml:space="preserve">the </w:t>
      </w:r>
      <w:proofErr w:type="spellStart"/>
      <w:r w:rsidRPr="004D6CAB">
        <w:rPr>
          <w:rFonts w:ascii="Times New Roman" w:hAnsi="Times New Roman" w:cs="Times New Roman"/>
          <w:lang w:val="en-US"/>
        </w:rPr>
        <w:t>Bucuresti-Ilfov</w:t>
      </w:r>
      <w:proofErr w:type="spellEnd"/>
      <w:r w:rsidRPr="004D6CAB">
        <w:rPr>
          <w:rFonts w:ascii="Times New Roman" w:hAnsi="Times New Roman" w:cs="Times New Roman"/>
          <w:lang w:val="en-US"/>
        </w:rPr>
        <w:t xml:space="preserve"> area, wh</w:t>
      </w:r>
      <w:r>
        <w:rPr>
          <w:rFonts w:ascii="Times New Roman" w:hAnsi="Times New Roman" w:cs="Times New Roman"/>
          <w:lang w:val="en-US"/>
        </w:rPr>
        <w:t xml:space="preserve">ich also records the </w:t>
      </w:r>
      <w:r w:rsidRPr="004D6CAB">
        <w:rPr>
          <w:rFonts w:ascii="Times New Roman" w:hAnsi="Times New Roman" w:cs="Times New Roman"/>
          <w:lang w:val="en-US"/>
        </w:rPr>
        <w:t>highest average wage</w:t>
      </w:r>
      <w:r>
        <w:rPr>
          <w:rFonts w:ascii="Times New Roman" w:hAnsi="Times New Roman" w:cs="Times New Roman"/>
          <w:lang w:val="en-US"/>
        </w:rPr>
        <w:t xml:space="preserve"> as a result of a more </w:t>
      </w:r>
      <w:r w:rsidRPr="004D6CAB">
        <w:rPr>
          <w:rFonts w:ascii="Times New Roman" w:hAnsi="Times New Roman" w:cs="Times New Roman"/>
          <w:lang w:val="en-US"/>
        </w:rPr>
        <w:t>develop</w:t>
      </w:r>
      <w:r>
        <w:rPr>
          <w:rFonts w:ascii="Times New Roman" w:hAnsi="Times New Roman" w:cs="Times New Roman"/>
          <w:lang w:val="en-US"/>
        </w:rPr>
        <w:t xml:space="preserve">ed local economy (Table 1). At the same time, in </w:t>
      </w:r>
      <w:r w:rsidRPr="004D6CAB">
        <w:rPr>
          <w:rFonts w:ascii="Times New Roman" w:hAnsi="Times New Roman" w:cs="Times New Roman"/>
          <w:lang w:val="en-US"/>
        </w:rPr>
        <w:t xml:space="preserve">western regions </w:t>
      </w:r>
      <w:r>
        <w:rPr>
          <w:rFonts w:ascii="Times New Roman" w:hAnsi="Times New Roman" w:cs="Times New Roman"/>
          <w:lang w:val="en-US"/>
        </w:rPr>
        <w:t xml:space="preserve">the </w:t>
      </w:r>
      <w:r w:rsidRPr="004D6CAB">
        <w:rPr>
          <w:rFonts w:ascii="Times New Roman" w:hAnsi="Times New Roman" w:cs="Times New Roman"/>
          <w:lang w:val="en-US"/>
        </w:rPr>
        <w:t xml:space="preserve">average pension </w:t>
      </w:r>
      <w:r>
        <w:rPr>
          <w:rFonts w:ascii="Times New Roman" w:hAnsi="Times New Roman" w:cs="Times New Roman"/>
          <w:lang w:val="en-US"/>
        </w:rPr>
        <w:t xml:space="preserve">is </w:t>
      </w:r>
      <w:r w:rsidRPr="004D6CAB">
        <w:rPr>
          <w:rFonts w:ascii="Times New Roman" w:hAnsi="Times New Roman" w:cs="Times New Roman"/>
          <w:lang w:val="en-US"/>
        </w:rPr>
        <w:t xml:space="preserve">higher than </w:t>
      </w:r>
      <w:r>
        <w:rPr>
          <w:rFonts w:ascii="Times New Roman" w:hAnsi="Times New Roman" w:cs="Times New Roman"/>
          <w:lang w:val="en-US"/>
        </w:rPr>
        <w:t xml:space="preserve">in </w:t>
      </w:r>
      <w:r w:rsidRPr="004D6CAB">
        <w:rPr>
          <w:rFonts w:ascii="Times New Roman" w:hAnsi="Times New Roman" w:cs="Times New Roman"/>
          <w:lang w:val="en-US"/>
        </w:rPr>
        <w:t xml:space="preserve">the eastern part of </w:t>
      </w:r>
      <w:r>
        <w:rPr>
          <w:rFonts w:ascii="Times New Roman" w:hAnsi="Times New Roman" w:cs="Times New Roman"/>
          <w:lang w:val="en-US"/>
        </w:rPr>
        <w:t xml:space="preserve">the country. The lowest levels of pension benefits exist in </w:t>
      </w:r>
      <w:r w:rsidRPr="00BB2F30">
        <w:rPr>
          <w:rFonts w:ascii="Times New Roman" w:hAnsi="Times New Roman" w:cs="Times New Roman"/>
          <w:lang w:val="en-US"/>
        </w:rPr>
        <w:t>South-East and South-</w:t>
      </w:r>
      <w:proofErr w:type="spellStart"/>
      <w:r w:rsidRPr="00BB2F30">
        <w:rPr>
          <w:rFonts w:ascii="Times New Roman" w:hAnsi="Times New Roman" w:cs="Times New Roman"/>
          <w:lang w:val="en-US"/>
        </w:rPr>
        <w:t>Muntenia</w:t>
      </w:r>
      <w:proofErr w:type="spellEnd"/>
      <w:r w:rsidRPr="00BB2F30">
        <w:rPr>
          <w:rFonts w:ascii="Times New Roman" w:hAnsi="Times New Roman" w:cs="Times New Roman"/>
          <w:lang w:val="en-US"/>
        </w:rPr>
        <w:t>, wh</w:t>
      </w:r>
      <w:r>
        <w:rPr>
          <w:rFonts w:ascii="Times New Roman" w:hAnsi="Times New Roman" w:cs="Times New Roman"/>
          <w:lang w:val="en-US"/>
        </w:rPr>
        <w:t>ere the level of economic</w:t>
      </w:r>
      <w:r w:rsidRPr="00BB2F30">
        <w:rPr>
          <w:rFonts w:ascii="Times New Roman" w:hAnsi="Times New Roman" w:cs="Times New Roman"/>
          <w:lang w:val="en-US"/>
        </w:rPr>
        <w:t xml:space="preserve"> development </w:t>
      </w:r>
      <w:r>
        <w:rPr>
          <w:rFonts w:ascii="Times New Roman" w:hAnsi="Times New Roman" w:cs="Times New Roman"/>
          <w:lang w:val="en-US"/>
        </w:rPr>
        <w:t>is lower due to preponderant agricultural activities.</w:t>
      </w:r>
    </w:p>
    <w:p w:rsidR="00E974BA" w:rsidRDefault="00E974BA" w:rsidP="00285688">
      <w:pPr>
        <w:spacing w:after="0"/>
        <w:jc w:val="both"/>
        <w:rPr>
          <w:rFonts w:ascii="Times New Roman" w:hAnsi="Times New Roman" w:cs="Times New Roman"/>
          <w:lang w:val="en-US"/>
        </w:rPr>
      </w:pPr>
    </w:p>
    <w:p w:rsidR="00E974BA" w:rsidRPr="004D6CAB" w:rsidRDefault="00E974BA" w:rsidP="00285688">
      <w:pPr>
        <w:spacing w:after="0"/>
        <w:jc w:val="both"/>
        <w:rPr>
          <w:rFonts w:ascii="Times New Roman" w:hAnsi="Times New Roman" w:cs="Times New Roman"/>
          <w:b/>
          <w:i/>
          <w:lang w:val="en-US"/>
        </w:rPr>
      </w:pPr>
    </w:p>
    <w:p w:rsidR="0077408D" w:rsidRPr="004D6CAB" w:rsidRDefault="0077408D" w:rsidP="008936BD">
      <w:pPr>
        <w:pStyle w:val="Paragraphedeliste"/>
        <w:numPr>
          <w:ilvl w:val="0"/>
          <w:numId w:val="1"/>
        </w:numPr>
        <w:spacing w:after="0"/>
        <w:jc w:val="both"/>
        <w:rPr>
          <w:rFonts w:ascii="Times New Roman" w:hAnsi="Times New Roman" w:cs="Times New Roman"/>
          <w:b/>
          <w:i/>
          <w:sz w:val="28"/>
          <w:szCs w:val="28"/>
        </w:rPr>
      </w:pPr>
      <w:r w:rsidRPr="004D6CAB">
        <w:rPr>
          <w:rFonts w:ascii="Times New Roman" w:hAnsi="Times New Roman" w:cs="Times New Roman"/>
          <w:b/>
          <w:sz w:val="28"/>
          <w:szCs w:val="28"/>
        </w:rPr>
        <w:t>Concluding remarks</w:t>
      </w:r>
    </w:p>
    <w:p w:rsidR="0077408D" w:rsidRPr="004D6CAB" w:rsidRDefault="0077408D" w:rsidP="008936BD">
      <w:pPr>
        <w:spacing w:after="0"/>
        <w:jc w:val="both"/>
        <w:rPr>
          <w:rFonts w:ascii="Times New Roman" w:hAnsi="Times New Roman" w:cs="Times New Roman"/>
          <w:b/>
          <w:i/>
        </w:rPr>
      </w:pPr>
    </w:p>
    <w:p w:rsidR="006412AC" w:rsidRDefault="006412AC" w:rsidP="008936BD">
      <w:pPr>
        <w:spacing w:after="0"/>
        <w:jc w:val="both"/>
        <w:rPr>
          <w:rFonts w:ascii="Times New Roman" w:hAnsi="Times New Roman" w:cs="Times New Roman"/>
        </w:rPr>
      </w:pPr>
      <w:r w:rsidRPr="004D6CAB">
        <w:rPr>
          <w:rFonts w:ascii="Times New Roman" w:hAnsi="Times New Roman" w:cs="Times New Roman"/>
        </w:rPr>
        <w:t xml:space="preserve">In this study we </w:t>
      </w:r>
      <w:r w:rsidR="00316D09">
        <w:rPr>
          <w:rFonts w:ascii="Times New Roman" w:hAnsi="Times New Roman" w:cs="Times New Roman"/>
        </w:rPr>
        <w:t>briefly analysed the impact of the recent reform of the Romanian pension system on the benefits, both at</w:t>
      </w:r>
      <w:r w:rsidRPr="004D6CAB">
        <w:rPr>
          <w:rFonts w:ascii="Times New Roman" w:hAnsi="Times New Roman" w:cs="Times New Roman"/>
        </w:rPr>
        <w:t xml:space="preserve"> national and regional level</w:t>
      </w:r>
      <w:r w:rsidR="00316D09">
        <w:rPr>
          <w:rFonts w:ascii="Times New Roman" w:hAnsi="Times New Roman" w:cs="Times New Roman"/>
        </w:rPr>
        <w:t xml:space="preserve">. </w:t>
      </w:r>
      <w:r w:rsidR="008C26B2">
        <w:rPr>
          <w:rFonts w:ascii="Times New Roman" w:hAnsi="Times New Roman" w:cs="Times New Roman"/>
        </w:rPr>
        <w:t>The analysis is carried out from the perspectives of demographic and sustainability challenges to which the public system is confronted</w:t>
      </w:r>
      <w:r w:rsidR="005D6EF7">
        <w:rPr>
          <w:rFonts w:ascii="Times New Roman" w:hAnsi="Times New Roman" w:cs="Times New Roman"/>
        </w:rPr>
        <w:t>, as well as from equity point of view.</w:t>
      </w:r>
    </w:p>
    <w:p w:rsidR="00B03A3C" w:rsidRDefault="005D6EF7" w:rsidP="008936BD">
      <w:pPr>
        <w:spacing w:after="0"/>
        <w:jc w:val="both"/>
        <w:rPr>
          <w:rFonts w:ascii="Times New Roman" w:hAnsi="Times New Roman" w:cs="Times New Roman"/>
        </w:rPr>
      </w:pPr>
      <w:r>
        <w:rPr>
          <w:rFonts w:ascii="Times New Roman" w:hAnsi="Times New Roman" w:cs="Times New Roman"/>
        </w:rPr>
        <w:t xml:space="preserve">Over the last three years the </w:t>
      </w:r>
      <w:r w:rsidR="006D74D9">
        <w:rPr>
          <w:rFonts w:ascii="Times New Roman" w:hAnsi="Times New Roman" w:cs="Times New Roman"/>
        </w:rPr>
        <w:t>average pension in the country continued to increase</w:t>
      </w:r>
      <w:r w:rsidR="004552EB">
        <w:rPr>
          <w:rFonts w:ascii="Times New Roman" w:hAnsi="Times New Roman" w:cs="Times New Roman"/>
        </w:rPr>
        <w:t xml:space="preserve">, but significant discrepancies exist between low and high benefits. The Romanian public system pays pensions lower than 8 EURO per month, as well as pensions above 2000 EURO monthly. </w:t>
      </w:r>
      <w:r w:rsidR="000F5F8E">
        <w:rPr>
          <w:rFonts w:ascii="Times New Roman" w:hAnsi="Times New Roman" w:cs="Times New Roman"/>
        </w:rPr>
        <w:t xml:space="preserve">Although the 2010 reformed was aimed at reducing these discrepancies, the measure ended up with a further increase of high pensions (by about 30%) in the detriment of low ones. </w:t>
      </w:r>
      <w:r w:rsidR="00B03A3C">
        <w:rPr>
          <w:rFonts w:ascii="Times New Roman" w:hAnsi="Times New Roman" w:cs="Times New Roman"/>
        </w:rPr>
        <w:t xml:space="preserve">Consequently, the distribution of beneficiaries according to the pension level shifted towards higher benefits after the implementation of reform. </w:t>
      </w:r>
    </w:p>
    <w:p w:rsidR="003F0A98" w:rsidRDefault="003F0A98" w:rsidP="008936BD">
      <w:pPr>
        <w:spacing w:after="0"/>
        <w:jc w:val="both"/>
        <w:rPr>
          <w:rFonts w:ascii="Times New Roman" w:hAnsi="Times New Roman" w:cs="Times New Roman"/>
        </w:rPr>
      </w:pPr>
      <w:r>
        <w:rPr>
          <w:rFonts w:ascii="Times New Roman" w:hAnsi="Times New Roman" w:cs="Times New Roman"/>
        </w:rPr>
        <w:t xml:space="preserve">The reform has therefore </w:t>
      </w:r>
      <w:r w:rsidR="00290779">
        <w:rPr>
          <w:rFonts w:ascii="Times New Roman" w:hAnsi="Times New Roman" w:cs="Times New Roman"/>
        </w:rPr>
        <w:t xml:space="preserve">maintained and even improved for certain categories of beneficiaries the adequacy of pensions, but has </w:t>
      </w:r>
      <w:r>
        <w:rPr>
          <w:rFonts w:ascii="Times New Roman" w:hAnsi="Times New Roman" w:cs="Times New Roman"/>
        </w:rPr>
        <w:t xml:space="preserve">accentuated the </w:t>
      </w:r>
      <w:r w:rsidR="000224CE">
        <w:rPr>
          <w:rFonts w:ascii="Times New Roman" w:hAnsi="Times New Roman" w:cs="Times New Roman"/>
        </w:rPr>
        <w:t xml:space="preserve">fiscal </w:t>
      </w:r>
      <w:r w:rsidR="007322D6">
        <w:rPr>
          <w:rFonts w:ascii="Times New Roman" w:hAnsi="Times New Roman" w:cs="Times New Roman"/>
        </w:rPr>
        <w:t xml:space="preserve">sustainability problems of the public system. </w:t>
      </w:r>
      <w:r w:rsidR="00C860B3">
        <w:rPr>
          <w:rFonts w:ascii="Times New Roman" w:hAnsi="Times New Roman" w:cs="Times New Roman"/>
        </w:rPr>
        <w:t xml:space="preserve">With already a deficit of 50% of the amount of collected contributions in 2010, the budget </w:t>
      </w:r>
      <w:r w:rsidR="000224CE">
        <w:rPr>
          <w:rFonts w:ascii="Times New Roman" w:hAnsi="Times New Roman" w:cs="Times New Roman"/>
        </w:rPr>
        <w:t xml:space="preserve">of pensions </w:t>
      </w:r>
      <w:r w:rsidR="00C860B3">
        <w:rPr>
          <w:rFonts w:ascii="Times New Roman" w:hAnsi="Times New Roman" w:cs="Times New Roman"/>
        </w:rPr>
        <w:t xml:space="preserve">faces a serious risk in the coming years. The expected demographic trends are unfavourable for Romania, while the </w:t>
      </w:r>
      <w:r w:rsidR="00CE7E1E">
        <w:rPr>
          <w:rFonts w:ascii="Times New Roman" w:hAnsi="Times New Roman" w:cs="Times New Roman"/>
        </w:rPr>
        <w:t xml:space="preserve">ratio of beneficiaries to active workers is very low. In spite of very restrictive conditions imposed by the newly adopted law on early retirement and granting disability pensions, expected to reduce significantly the number of pensioners, the total number of beneficiaries in April 2012 (after 14 months of reform implementation) </w:t>
      </w:r>
      <w:r w:rsidR="00A70CF1">
        <w:rPr>
          <w:rFonts w:ascii="Times New Roman" w:hAnsi="Times New Roman" w:cs="Times New Roman"/>
        </w:rPr>
        <w:t xml:space="preserve">was just by 1.25% lower than in December 2010. </w:t>
      </w:r>
      <w:r w:rsidR="00B25545">
        <w:rPr>
          <w:rFonts w:ascii="Times New Roman" w:hAnsi="Times New Roman" w:cs="Times New Roman"/>
        </w:rPr>
        <w:t xml:space="preserve">Moreover, the number of persons benefiting from early retirement increased between December 2010 and April 2012 by more than 22%. </w:t>
      </w:r>
      <w:r w:rsidR="00A70CF1">
        <w:rPr>
          <w:rFonts w:ascii="Times New Roman" w:hAnsi="Times New Roman" w:cs="Times New Roman"/>
        </w:rPr>
        <w:t>The reform measures have been therefore inefficient</w:t>
      </w:r>
      <w:r w:rsidR="000224CE">
        <w:rPr>
          <w:rFonts w:ascii="Times New Roman" w:hAnsi="Times New Roman" w:cs="Times New Roman"/>
        </w:rPr>
        <w:t xml:space="preserve"> </w:t>
      </w:r>
      <w:r w:rsidR="002617AA">
        <w:rPr>
          <w:rFonts w:ascii="Times New Roman" w:hAnsi="Times New Roman" w:cs="Times New Roman"/>
        </w:rPr>
        <w:t xml:space="preserve">also </w:t>
      </w:r>
      <w:r w:rsidR="000224CE">
        <w:rPr>
          <w:rFonts w:ascii="Times New Roman" w:hAnsi="Times New Roman" w:cs="Times New Roman"/>
        </w:rPr>
        <w:t>from this point of view</w:t>
      </w:r>
      <w:r w:rsidR="002617AA">
        <w:rPr>
          <w:rFonts w:ascii="Times New Roman" w:hAnsi="Times New Roman" w:cs="Times New Roman"/>
        </w:rPr>
        <w:t xml:space="preserve">, although </w:t>
      </w:r>
      <w:r w:rsidR="002A6006">
        <w:rPr>
          <w:rFonts w:ascii="Times New Roman" w:hAnsi="Times New Roman" w:cs="Times New Roman"/>
        </w:rPr>
        <w:t xml:space="preserve">– in addition to the constraints imposed to early and disability retirement – the statutory </w:t>
      </w:r>
      <w:r w:rsidR="002617AA">
        <w:rPr>
          <w:rFonts w:ascii="Times New Roman" w:hAnsi="Times New Roman" w:cs="Times New Roman"/>
        </w:rPr>
        <w:t>age of retirement continued to increase over the respective period</w:t>
      </w:r>
      <w:r w:rsidR="00961725">
        <w:rPr>
          <w:rFonts w:ascii="Times New Roman" w:hAnsi="Times New Roman" w:cs="Times New Roman"/>
        </w:rPr>
        <w:t xml:space="preserve">.  </w:t>
      </w:r>
      <w:r w:rsidR="00A70CF1">
        <w:rPr>
          <w:rFonts w:ascii="Times New Roman" w:hAnsi="Times New Roman" w:cs="Times New Roman"/>
        </w:rPr>
        <w:t xml:space="preserve"> </w:t>
      </w:r>
      <w:r w:rsidR="00CE7E1E">
        <w:rPr>
          <w:rFonts w:ascii="Times New Roman" w:hAnsi="Times New Roman" w:cs="Times New Roman"/>
        </w:rPr>
        <w:t xml:space="preserve">  </w:t>
      </w:r>
      <w:r w:rsidR="00C860B3">
        <w:rPr>
          <w:rFonts w:ascii="Times New Roman" w:hAnsi="Times New Roman" w:cs="Times New Roman"/>
        </w:rPr>
        <w:t xml:space="preserve">  </w:t>
      </w:r>
    </w:p>
    <w:p w:rsidR="00ED0340" w:rsidRDefault="003F0A98" w:rsidP="008936BD">
      <w:pPr>
        <w:spacing w:after="0"/>
        <w:jc w:val="both"/>
        <w:rPr>
          <w:rFonts w:ascii="Times New Roman" w:hAnsi="Times New Roman" w:cs="Times New Roman"/>
        </w:rPr>
      </w:pPr>
      <w:r>
        <w:rPr>
          <w:rFonts w:ascii="Times New Roman" w:hAnsi="Times New Roman" w:cs="Times New Roman"/>
        </w:rPr>
        <w:t xml:space="preserve">At regional level, </w:t>
      </w:r>
      <w:r w:rsidR="00452CFC">
        <w:rPr>
          <w:rFonts w:ascii="Times New Roman" w:hAnsi="Times New Roman" w:cs="Times New Roman"/>
        </w:rPr>
        <w:t xml:space="preserve">significant differences are observed across counties in terms of the average pension. Those where the agriculture is preponderant receive lower than the country’s average benefits, while </w:t>
      </w:r>
      <w:r w:rsidR="00073E30">
        <w:rPr>
          <w:rFonts w:ascii="Times New Roman" w:hAnsi="Times New Roman" w:cs="Times New Roman"/>
        </w:rPr>
        <w:t xml:space="preserve">in </w:t>
      </w:r>
      <w:r w:rsidR="00452CFC">
        <w:rPr>
          <w:rFonts w:ascii="Times New Roman" w:hAnsi="Times New Roman" w:cs="Times New Roman"/>
        </w:rPr>
        <w:t xml:space="preserve">industrialized </w:t>
      </w:r>
      <w:r w:rsidR="00073E30">
        <w:rPr>
          <w:rFonts w:ascii="Times New Roman" w:hAnsi="Times New Roman" w:cs="Times New Roman"/>
        </w:rPr>
        <w:t xml:space="preserve">(and economically more developed) </w:t>
      </w:r>
      <w:r w:rsidR="00452CFC">
        <w:rPr>
          <w:rFonts w:ascii="Times New Roman" w:hAnsi="Times New Roman" w:cs="Times New Roman"/>
        </w:rPr>
        <w:t>counties</w:t>
      </w:r>
      <w:r w:rsidR="00073E30">
        <w:rPr>
          <w:rFonts w:ascii="Times New Roman" w:hAnsi="Times New Roman" w:cs="Times New Roman"/>
        </w:rPr>
        <w:t xml:space="preserve"> the average pension is well above the same average. However, in all counties the reform brought an increase of the nominal pension by 13.3%.</w:t>
      </w:r>
      <w:r w:rsidR="00610A58">
        <w:rPr>
          <w:rFonts w:ascii="Times New Roman" w:hAnsi="Times New Roman" w:cs="Times New Roman"/>
        </w:rPr>
        <w:t xml:space="preserve"> In real terms (indexed by the cost of living), the pension is higher than the nominal one in the large majority of counties; only in five the most developed ones the real pension is inferior to the nominal one. This implies that the economic development, although beneficial for active workers through a </w:t>
      </w:r>
      <w:r w:rsidR="00ED0340">
        <w:rPr>
          <w:rFonts w:ascii="Times New Roman" w:hAnsi="Times New Roman" w:cs="Times New Roman"/>
        </w:rPr>
        <w:t xml:space="preserve">relatively rapid increase in their wages, does not have the same beneficial effect for retired persons. </w:t>
      </w:r>
    </w:p>
    <w:p w:rsidR="00B170EA" w:rsidRDefault="00ED0340" w:rsidP="008936BD">
      <w:pPr>
        <w:spacing w:after="0"/>
        <w:jc w:val="both"/>
        <w:rPr>
          <w:rFonts w:ascii="Times New Roman" w:hAnsi="Times New Roman" w:cs="Times New Roman"/>
        </w:rPr>
      </w:pPr>
      <w:r>
        <w:rPr>
          <w:rFonts w:ascii="Times New Roman" w:hAnsi="Times New Roman" w:cs="Times New Roman"/>
        </w:rPr>
        <w:lastRenderedPageBreak/>
        <w:t xml:space="preserve">The discrepancies across counties </w:t>
      </w:r>
      <w:r w:rsidR="00B6675A">
        <w:rPr>
          <w:rFonts w:ascii="Times New Roman" w:hAnsi="Times New Roman" w:cs="Times New Roman"/>
        </w:rPr>
        <w:t xml:space="preserve">is more important in terms of real pension than when considering the nominal one: while the ratio between the highest and the lowest counties in nominal terms is only 1.57, in real figures this ratio increase to 2.09. </w:t>
      </w:r>
      <w:r w:rsidR="00306ABA">
        <w:rPr>
          <w:rFonts w:ascii="Times New Roman" w:hAnsi="Times New Roman" w:cs="Times New Roman"/>
        </w:rPr>
        <w:t xml:space="preserve">The same specificity remains when the regions are considered, with the particularity that the pension level seems to be positively correlated with the number of beneficiaries living in the region. </w:t>
      </w:r>
    </w:p>
    <w:p w:rsidR="005D6EF7" w:rsidRPr="004D6CAB" w:rsidRDefault="00B170EA" w:rsidP="008936BD">
      <w:pPr>
        <w:spacing w:after="0"/>
        <w:jc w:val="both"/>
        <w:rPr>
          <w:rFonts w:ascii="Times New Roman" w:hAnsi="Times New Roman" w:cs="Times New Roman"/>
        </w:rPr>
      </w:pPr>
      <w:r>
        <w:rPr>
          <w:rFonts w:ascii="Times New Roman" w:hAnsi="Times New Roman" w:cs="Times New Roman"/>
        </w:rPr>
        <w:t xml:space="preserve">Concluding, the Romanian </w:t>
      </w:r>
      <w:r w:rsidR="00D4428B">
        <w:rPr>
          <w:rFonts w:ascii="Times New Roman" w:hAnsi="Times New Roman" w:cs="Times New Roman"/>
        </w:rPr>
        <w:t xml:space="preserve">public </w:t>
      </w:r>
      <w:r>
        <w:rPr>
          <w:rFonts w:ascii="Times New Roman" w:hAnsi="Times New Roman" w:cs="Times New Roman"/>
        </w:rPr>
        <w:t xml:space="preserve">pension system </w:t>
      </w:r>
      <w:r w:rsidR="00D4428B">
        <w:rPr>
          <w:rFonts w:ascii="Times New Roman" w:hAnsi="Times New Roman" w:cs="Times New Roman"/>
        </w:rPr>
        <w:t>is characterised by a good level of adequacy, which is superior to the EU average, but experiences serious difficulties in terms of fiscal sustainability. Although the government tried to tackle this issue in its recent reform, there is no significant progress in terms of improving the sustainability</w:t>
      </w:r>
      <w:r w:rsidR="009D00FC">
        <w:rPr>
          <w:rFonts w:ascii="Times New Roman" w:hAnsi="Times New Roman" w:cs="Times New Roman"/>
        </w:rPr>
        <w:t xml:space="preserve">; moreover, this aspect seems to be neglected by the reform package and the authorities are concerned almost exclusively by continuing to improve the benefits’ adequacy. To some extent, this is politically understandable because almost 5 million of retired persons represent </w:t>
      </w:r>
      <w:r w:rsidR="00EB09CB">
        <w:rPr>
          <w:rFonts w:ascii="Times New Roman" w:hAnsi="Times New Roman" w:cs="Times New Roman"/>
        </w:rPr>
        <w:t xml:space="preserve">around one quarter of voters. However, this policy is economically wrong and fiscally unsustainable.    </w:t>
      </w:r>
      <w:r w:rsidR="009D00FC">
        <w:rPr>
          <w:rFonts w:ascii="Times New Roman" w:hAnsi="Times New Roman" w:cs="Times New Roman"/>
        </w:rPr>
        <w:t xml:space="preserve"> </w:t>
      </w:r>
      <w:r w:rsidR="00D4428B">
        <w:rPr>
          <w:rFonts w:ascii="Times New Roman" w:hAnsi="Times New Roman" w:cs="Times New Roman"/>
        </w:rPr>
        <w:t xml:space="preserve">  </w:t>
      </w:r>
      <w:r>
        <w:rPr>
          <w:rFonts w:ascii="Times New Roman" w:hAnsi="Times New Roman" w:cs="Times New Roman"/>
        </w:rPr>
        <w:t xml:space="preserve"> </w:t>
      </w:r>
      <w:r w:rsidR="00306ABA">
        <w:rPr>
          <w:rFonts w:ascii="Times New Roman" w:hAnsi="Times New Roman" w:cs="Times New Roman"/>
        </w:rPr>
        <w:t xml:space="preserve"> </w:t>
      </w:r>
      <w:r w:rsidR="00B6675A">
        <w:rPr>
          <w:rFonts w:ascii="Times New Roman" w:hAnsi="Times New Roman" w:cs="Times New Roman"/>
        </w:rPr>
        <w:t xml:space="preserve"> </w:t>
      </w:r>
      <w:r w:rsidR="00610A58">
        <w:rPr>
          <w:rFonts w:ascii="Times New Roman" w:hAnsi="Times New Roman" w:cs="Times New Roman"/>
        </w:rPr>
        <w:t xml:space="preserve"> </w:t>
      </w:r>
      <w:r w:rsidR="00073E30">
        <w:rPr>
          <w:rFonts w:ascii="Times New Roman" w:hAnsi="Times New Roman" w:cs="Times New Roman"/>
        </w:rPr>
        <w:t xml:space="preserve"> </w:t>
      </w:r>
      <w:r w:rsidR="00452CFC">
        <w:rPr>
          <w:rFonts w:ascii="Times New Roman" w:hAnsi="Times New Roman" w:cs="Times New Roman"/>
        </w:rPr>
        <w:t xml:space="preserve">  </w:t>
      </w:r>
      <w:r w:rsidR="00B03A3C">
        <w:rPr>
          <w:rFonts w:ascii="Times New Roman" w:hAnsi="Times New Roman" w:cs="Times New Roman"/>
        </w:rPr>
        <w:t xml:space="preserve"> </w:t>
      </w:r>
      <w:r w:rsidR="000F5F8E">
        <w:rPr>
          <w:rFonts w:ascii="Times New Roman" w:hAnsi="Times New Roman" w:cs="Times New Roman"/>
        </w:rPr>
        <w:t xml:space="preserve"> </w:t>
      </w:r>
      <w:r w:rsidR="004552EB">
        <w:rPr>
          <w:rFonts w:ascii="Times New Roman" w:hAnsi="Times New Roman" w:cs="Times New Roman"/>
        </w:rPr>
        <w:t xml:space="preserve"> </w:t>
      </w:r>
    </w:p>
    <w:p w:rsidR="0077408D" w:rsidRPr="004D6CAB" w:rsidRDefault="00042FA0" w:rsidP="008936BD">
      <w:pPr>
        <w:spacing w:after="0"/>
        <w:jc w:val="both"/>
        <w:rPr>
          <w:rFonts w:ascii="Times New Roman" w:hAnsi="Times New Roman" w:cs="Times New Roman"/>
          <w:lang w:val="en-US"/>
        </w:rPr>
      </w:pPr>
      <w:r w:rsidRPr="004D6CAB">
        <w:rPr>
          <w:rFonts w:ascii="Times New Roman" w:hAnsi="Times New Roman" w:cs="Times New Roman"/>
          <w:lang w:val="en-US"/>
        </w:rPr>
        <w:t xml:space="preserve">  </w:t>
      </w:r>
    </w:p>
    <w:p w:rsidR="0077408D" w:rsidRDefault="0077408D" w:rsidP="008936BD">
      <w:pPr>
        <w:spacing w:after="0"/>
        <w:jc w:val="both"/>
        <w:rPr>
          <w:rFonts w:ascii="Times New Roman" w:hAnsi="Times New Roman" w:cs="Times New Roman"/>
          <w:b/>
          <w:i/>
          <w:lang w:val="en-US"/>
        </w:rPr>
      </w:pPr>
    </w:p>
    <w:p w:rsidR="009A405E" w:rsidRDefault="009A405E" w:rsidP="008936BD">
      <w:pPr>
        <w:spacing w:after="0"/>
        <w:jc w:val="both"/>
        <w:rPr>
          <w:rFonts w:ascii="Times New Roman" w:hAnsi="Times New Roman" w:cs="Times New Roman"/>
          <w:b/>
          <w:i/>
          <w:lang w:val="en-US"/>
        </w:rPr>
      </w:pPr>
    </w:p>
    <w:p w:rsidR="009A405E" w:rsidRDefault="009A405E" w:rsidP="008936BD">
      <w:pPr>
        <w:spacing w:after="0"/>
        <w:jc w:val="both"/>
        <w:rPr>
          <w:rFonts w:ascii="Times New Roman" w:hAnsi="Times New Roman" w:cs="Times New Roman"/>
          <w:b/>
          <w:i/>
          <w:lang w:val="en-US"/>
        </w:rPr>
      </w:pPr>
    </w:p>
    <w:p w:rsidR="009A405E" w:rsidRDefault="009A405E" w:rsidP="008936BD">
      <w:pPr>
        <w:spacing w:after="0"/>
        <w:jc w:val="both"/>
        <w:rPr>
          <w:rFonts w:ascii="Times New Roman" w:hAnsi="Times New Roman" w:cs="Times New Roman"/>
          <w:b/>
          <w:i/>
          <w:lang w:val="en-US"/>
        </w:rPr>
      </w:pPr>
    </w:p>
    <w:p w:rsidR="009A405E" w:rsidRPr="004D6CAB" w:rsidRDefault="009A405E" w:rsidP="008936BD">
      <w:pPr>
        <w:spacing w:after="0"/>
        <w:jc w:val="both"/>
        <w:rPr>
          <w:rFonts w:ascii="Times New Roman" w:hAnsi="Times New Roman" w:cs="Times New Roman"/>
          <w:b/>
          <w:i/>
          <w:lang w:val="en-US"/>
        </w:rPr>
      </w:pPr>
    </w:p>
    <w:p w:rsidR="0072572A" w:rsidRPr="004D6CAB" w:rsidRDefault="0072572A" w:rsidP="008936BD">
      <w:pPr>
        <w:spacing w:after="0"/>
        <w:jc w:val="both"/>
        <w:rPr>
          <w:rFonts w:ascii="Times New Roman" w:hAnsi="Times New Roman" w:cs="Times New Roman"/>
          <w:b/>
          <w:i/>
          <w:lang w:val="en-US"/>
        </w:rPr>
      </w:pPr>
      <w:r w:rsidRPr="004D6CAB">
        <w:rPr>
          <w:rFonts w:ascii="Times New Roman" w:hAnsi="Times New Roman" w:cs="Times New Roman"/>
          <w:lang w:val="en-US"/>
        </w:rPr>
        <w:t xml:space="preserve">             </w:t>
      </w:r>
    </w:p>
    <w:p w:rsidR="0072572A" w:rsidRPr="003F0A98" w:rsidRDefault="00500818" w:rsidP="008936BD">
      <w:pPr>
        <w:spacing w:after="0"/>
        <w:jc w:val="both"/>
        <w:rPr>
          <w:rFonts w:ascii="Times New Roman" w:hAnsi="Times New Roman" w:cs="Times New Roman"/>
          <w:b/>
          <w:sz w:val="28"/>
          <w:szCs w:val="28"/>
          <w:lang w:val="en-US"/>
        </w:rPr>
      </w:pPr>
      <w:r w:rsidRPr="003F0A98">
        <w:rPr>
          <w:rFonts w:ascii="Times New Roman" w:hAnsi="Times New Roman" w:cs="Times New Roman"/>
          <w:b/>
          <w:sz w:val="28"/>
          <w:szCs w:val="28"/>
          <w:lang w:val="en-US"/>
        </w:rPr>
        <w:t>References</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gramStart"/>
      <w:r w:rsidRPr="004D6CAB">
        <w:rPr>
          <w:rFonts w:ascii="Times New Roman" w:hAnsi="Times New Roman" w:cs="Times New Roman"/>
          <w:lang w:val="en-US"/>
        </w:rPr>
        <w:t>Allot,</w:t>
      </w:r>
      <w:proofErr w:type="gramEnd"/>
      <w:r w:rsidRPr="004D6CAB">
        <w:rPr>
          <w:rFonts w:ascii="Times New Roman" w:hAnsi="Times New Roman" w:cs="Times New Roman"/>
          <w:lang w:val="en-US"/>
        </w:rPr>
        <w:t xml:space="preserve"> Adrian; </w:t>
      </w:r>
      <w:proofErr w:type="spellStart"/>
      <w:r w:rsidRPr="004D6CAB">
        <w:rPr>
          <w:rFonts w:ascii="Times New Roman" w:hAnsi="Times New Roman" w:cs="Times New Roman"/>
          <w:lang w:val="en-US"/>
        </w:rPr>
        <w:t>Atomi</w:t>
      </w:r>
      <w:proofErr w:type="spellEnd"/>
      <w:r w:rsidRPr="004D6CAB">
        <w:rPr>
          <w:rFonts w:ascii="Times New Roman" w:hAnsi="Times New Roman" w:cs="Times New Roman"/>
          <w:lang w:val="en-US"/>
        </w:rPr>
        <w:t xml:space="preserve">, Cristina; Ernest, Paul; </w:t>
      </w:r>
      <w:proofErr w:type="spellStart"/>
      <w:r w:rsidRPr="004D6CAB">
        <w:rPr>
          <w:rFonts w:ascii="Times New Roman" w:hAnsi="Times New Roman" w:cs="Times New Roman"/>
          <w:lang w:val="en-US"/>
        </w:rPr>
        <w:t>Golmbiecka</w:t>
      </w:r>
      <w:proofErr w:type="spellEnd"/>
      <w:r w:rsidRPr="004D6CAB">
        <w:rPr>
          <w:rFonts w:ascii="Times New Roman" w:hAnsi="Times New Roman" w:cs="Times New Roman"/>
          <w:lang w:val="en-US"/>
        </w:rPr>
        <w:t xml:space="preserve">, </w:t>
      </w:r>
      <w:proofErr w:type="spellStart"/>
      <w:r w:rsidRPr="004D6CAB">
        <w:rPr>
          <w:rFonts w:ascii="Times New Roman" w:hAnsi="Times New Roman" w:cs="Times New Roman"/>
          <w:lang w:val="en-US"/>
        </w:rPr>
        <w:t>Beata</w:t>
      </w:r>
      <w:proofErr w:type="spellEnd"/>
      <w:r w:rsidRPr="004D6CAB">
        <w:rPr>
          <w:rFonts w:ascii="Times New Roman" w:hAnsi="Times New Roman" w:cs="Times New Roman"/>
          <w:lang w:val="en-US"/>
        </w:rPr>
        <w:t xml:space="preserve">; </w:t>
      </w:r>
      <w:proofErr w:type="spellStart"/>
      <w:r w:rsidRPr="004D6CAB">
        <w:rPr>
          <w:rFonts w:ascii="Times New Roman" w:hAnsi="Times New Roman" w:cs="Times New Roman"/>
          <w:lang w:val="en-US"/>
        </w:rPr>
        <w:t>Krzykowski</w:t>
      </w:r>
      <w:proofErr w:type="spellEnd"/>
      <w:r w:rsidRPr="004D6CAB">
        <w:rPr>
          <w:rFonts w:ascii="Times New Roman" w:hAnsi="Times New Roman" w:cs="Times New Roman"/>
          <w:lang w:val="en-US"/>
        </w:rPr>
        <w:t xml:space="preserve">, </w:t>
      </w:r>
      <w:proofErr w:type="spellStart"/>
      <w:r w:rsidRPr="004D6CAB">
        <w:rPr>
          <w:rFonts w:ascii="Times New Roman" w:hAnsi="Times New Roman" w:cs="Times New Roman"/>
          <w:lang w:val="en-US"/>
        </w:rPr>
        <w:t>Marcin</w:t>
      </w:r>
      <w:proofErr w:type="spellEnd"/>
      <w:r w:rsidRPr="004D6CAB">
        <w:rPr>
          <w:rFonts w:ascii="Times New Roman" w:hAnsi="Times New Roman" w:cs="Times New Roman"/>
          <w:lang w:val="en-US"/>
        </w:rPr>
        <w:t xml:space="preserve">; </w:t>
      </w:r>
      <w:proofErr w:type="spellStart"/>
      <w:r w:rsidRPr="004D6CAB">
        <w:rPr>
          <w:rFonts w:ascii="Times New Roman" w:hAnsi="Times New Roman" w:cs="Times New Roman"/>
          <w:lang w:val="en-US"/>
        </w:rPr>
        <w:t>Mazerant</w:t>
      </w:r>
      <w:proofErr w:type="spellEnd"/>
      <w:r w:rsidRPr="004D6CAB">
        <w:rPr>
          <w:rFonts w:ascii="Times New Roman" w:hAnsi="Times New Roman" w:cs="Times New Roman"/>
          <w:lang w:val="en-US"/>
        </w:rPr>
        <w:t xml:space="preserve">, Anna; </w:t>
      </w:r>
      <w:proofErr w:type="spellStart"/>
      <w:r w:rsidRPr="004D6CAB">
        <w:rPr>
          <w:rFonts w:ascii="Times New Roman" w:hAnsi="Times New Roman" w:cs="Times New Roman"/>
          <w:lang w:val="en-US"/>
        </w:rPr>
        <w:t>Ofutin</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Olexander</w:t>
      </w:r>
      <w:proofErr w:type="spellEnd"/>
      <w:r w:rsidRPr="004D6CAB">
        <w:rPr>
          <w:rFonts w:ascii="Times New Roman" w:hAnsi="Times New Roman" w:cs="Times New Roman"/>
        </w:rPr>
        <w:t xml:space="preserve">: Private Pension Systems in Central and Eastern Europe. </w:t>
      </w:r>
      <w:proofErr w:type="spellStart"/>
      <w:r w:rsidRPr="004D6CAB">
        <w:rPr>
          <w:rFonts w:ascii="Times New Roman" w:hAnsi="Times New Roman" w:cs="Times New Roman"/>
        </w:rPr>
        <w:t>Milliman</w:t>
      </w:r>
      <w:proofErr w:type="spellEnd"/>
      <w:r w:rsidRPr="004D6CAB">
        <w:rPr>
          <w:rFonts w:ascii="Times New Roman" w:hAnsi="Times New Roman" w:cs="Times New Roman"/>
        </w:rPr>
        <w:t xml:space="preserve"> Research Report, January 2010. </w:t>
      </w:r>
    </w:p>
    <w:p w:rsidR="005B5D5A" w:rsidRPr="004D6CAB" w:rsidRDefault="005B5D5A" w:rsidP="008E58EC">
      <w:pPr>
        <w:pStyle w:val="Paragraphedeliste"/>
        <w:numPr>
          <w:ilvl w:val="0"/>
          <w:numId w:val="5"/>
        </w:numPr>
        <w:spacing w:after="0"/>
        <w:jc w:val="both"/>
        <w:rPr>
          <w:rFonts w:ascii="Times New Roman" w:hAnsi="Times New Roman" w:cs="Times New Roman"/>
          <w:lang w:val="en-US"/>
        </w:rPr>
      </w:pPr>
      <w:proofErr w:type="spellStart"/>
      <w:r w:rsidRPr="004D6CAB">
        <w:rPr>
          <w:rFonts w:ascii="Times New Roman" w:hAnsi="Times New Roman" w:cs="Times New Roman"/>
        </w:rPr>
        <w:t>Beetsma</w:t>
      </w:r>
      <w:proofErr w:type="spellEnd"/>
      <w:r w:rsidRPr="004D6CAB">
        <w:rPr>
          <w:rFonts w:ascii="Times New Roman" w:hAnsi="Times New Roman" w:cs="Times New Roman"/>
        </w:rPr>
        <w:t xml:space="preserve">, R., </w:t>
      </w:r>
      <w:proofErr w:type="spellStart"/>
      <w:r w:rsidRPr="004D6CAB">
        <w:rPr>
          <w:rFonts w:ascii="Times New Roman" w:hAnsi="Times New Roman" w:cs="Times New Roman"/>
        </w:rPr>
        <w:t>Oksanem</w:t>
      </w:r>
      <w:proofErr w:type="spellEnd"/>
      <w:r w:rsidRPr="004D6CAB">
        <w:rPr>
          <w:rFonts w:ascii="Times New Roman" w:hAnsi="Times New Roman" w:cs="Times New Roman"/>
        </w:rPr>
        <w:t xml:space="preserve">, H., Pensions under Ageing Populations and the EU Stability and Growth Pact, </w:t>
      </w:r>
      <w:proofErr w:type="spellStart"/>
      <w:r w:rsidRPr="004D6CAB">
        <w:rPr>
          <w:rFonts w:ascii="Times New Roman" w:hAnsi="Times New Roman" w:cs="Times New Roman"/>
        </w:rPr>
        <w:t>CESifo</w:t>
      </w:r>
      <w:proofErr w:type="spellEnd"/>
      <w:r w:rsidRPr="004D6CAB">
        <w:rPr>
          <w:rFonts w:ascii="Times New Roman" w:hAnsi="Times New Roman" w:cs="Times New Roman"/>
        </w:rPr>
        <w:t xml:space="preserve"> Economic Studies, Vol. 54, 4/2008, 563–592 doi:10.1093/</w:t>
      </w:r>
      <w:proofErr w:type="spellStart"/>
      <w:r w:rsidRPr="004D6CAB">
        <w:rPr>
          <w:rFonts w:ascii="Times New Roman" w:hAnsi="Times New Roman" w:cs="Times New Roman"/>
        </w:rPr>
        <w:t>cesifo</w:t>
      </w:r>
      <w:proofErr w:type="spellEnd"/>
      <w:r w:rsidRPr="004D6CAB">
        <w:rPr>
          <w:rFonts w:ascii="Times New Roman" w:hAnsi="Times New Roman" w:cs="Times New Roman"/>
        </w:rPr>
        <w:t>/ifn031.</w:t>
      </w:r>
    </w:p>
    <w:p w:rsidR="00163ED4" w:rsidRPr="004D6CAB" w:rsidRDefault="00163ED4" w:rsidP="008E58EC">
      <w:pPr>
        <w:pStyle w:val="Paragraphedeliste"/>
        <w:numPr>
          <w:ilvl w:val="0"/>
          <w:numId w:val="5"/>
        </w:numPr>
        <w:spacing w:after="0"/>
        <w:jc w:val="both"/>
        <w:rPr>
          <w:rFonts w:ascii="Times New Roman" w:hAnsi="Times New Roman" w:cs="Times New Roman"/>
          <w:lang w:val="en-US"/>
        </w:rPr>
      </w:pPr>
      <w:proofErr w:type="spellStart"/>
      <w:r w:rsidRPr="004D6CAB">
        <w:rPr>
          <w:rFonts w:ascii="Times New Roman" w:hAnsi="Times New Roman" w:cs="Times New Roman"/>
        </w:rPr>
        <w:t>Bucciol</w:t>
      </w:r>
      <w:proofErr w:type="spellEnd"/>
      <w:r w:rsidRPr="004D6CAB">
        <w:rPr>
          <w:rFonts w:ascii="Times New Roman" w:hAnsi="Times New Roman" w:cs="Times New Roman"/>
        </w:rPr>
        <w:t xml:space="preserve">, A., </w:t>
      </w:r>
      <w:proofErr w:type="spellStart"/>
      <w:r w:rsidRPr="004D6CAB">
        <w:rPr>
          <w:rFonts w:ascii="Times New Roman" w:hAnsi="Times New Roman" w:cs="Times New Roman"/>
        </w:rPr>
        <w:t>Beetsma</w:t>
      </w:r>
      <w:proofErr w:type="spellEnd"/>
      <w:r w:rsidRPr="004D6CAB">
        <w:rPr>
          <w:rFonts w:ascii="Times New Roman" w:hAnsi="Times New Roman" w:cs="Times New Roman"/>
        </w:rPr>
        <w:t xml:space="preserve">, R.M.W.J., Inter- and Intra-generational Consequences of Pension Buffer Policy under Demographic, Financial, and Economic Shocks, </w:t>
      </w:r>
      <w:proofErr w:type="spellStart"/>
      <w:r w:rsidRPr="004D6CAB">
        <w:rPr>
          <w:rFonts w:ascii="Times New Roman" w:hAnsi="Times New Roman" w:cs="Times New Roman"/>
        </w:rPr>
        <w:t>CESifo</w:t>
      </w:r>
      <w:proofErr w:type="spellEnd"/>
      <w:r w:rsidRPr="004D6CAB">
        <w:rPr>
          <w:rFonts w:ascii="Times New Roman" w:hAnsi="Times New Roman" w:cs="Times New Roman"/>
        </w:rPr>
        <w:t xml:space="preserve"> Economic Studies, Vol. 56, 3/2010, 366–403 doi:10.1093/</w:t>
      </w:r>
      <w:proofErr w:type="spellStart"/>
      <w:r w:rsidRPr="004D6CAB">
        <w:rPr>
          <w:rFonts w:ascii="Times New Roman" w:hAnsi="Times New Roman" w:cs="Times New Roman"/>
        </w:rPr>
        <w:t>cesifo</w:t>
      </w:r>
      <w:proofErr w:type="spellEnd"/>
      <w:r w:rsidRPr="004D6CAB">
        <w:rPr>
          <w:rFonts w:ascii="Times New Roman" w:hAnsi="Times New Roman" w:cs="Times New Roman"/>
        </w:rPr>
        <w:t>/ifq003.</w:t>
      </w:r>
    </w:p>
    <w:p w:rsidR="001F1036" w:rsidRPr="004D6CAB" w:rsidRDefault="001F1036" w:rsidP="008E58EC">
      <w:pPr>
        <w:pStyle w:val="Paragraphedeliste"/>
        <w:numPr>
          <w:ilvl w:val="0"/>
          <w:numId w:val="5"/>
        </w:numPr>
        <w:spacing w:after="0"/>
        <w:jc w:val="both"/>
        <w:rPr>
          <w:rFonts w:ascii="Times New Roman" w:hAnsi="Times New Roman" w:cs="Times New Roman"/>
          <w:lang w:val="en-US"/>
        </w:rPr>
      </w:pPr>
      <w:proofErr w:type="spellStart"/>
      <w:r w:rsidRPr="004D6CAB">
        <w:rPr>
          <w:rFonts w:ascii="Times New Roman" w:hAnsi="Times New Roman" w:cs="Times New Roman"/>
        </w:rPr>
        <w:t>Cigno</w:t>
      </w:r>
      <w:proofErr w:type="spellEnd"/>
      <w:r w:rsidRPr="004D6CAB">
        <w:rPr>
          <w:rFonts w:ascii="Times New Roman" w:hAnsi="Times New Roman" w:cs="Times New Roman"/>
        </w:rPr>
        <w:t xml:space="preserve">, A., How to Avoid a Pension Crisis: A Question of Intelligent System Design, </w:t>
      </w:r>
      <w:proofErr w:type="spellStart"/>
      <w:r w:rsidRPr="004D6CAB">
        <w:rPr>
          <w:rFonts w:ascii="Times New Roman" w:hAnsi="Times New Roman" w:cs="Times New Roman"/>
        </w:rPr>
        <w:t>CESifo</w:t>
      </w:r>
      <w:proofErr w:type="spellEnd"/>
      <w:r w:rsidRPr="004D6CAB">
        <w:rPr>
          <w:rFonts w:ascii="Times New Roman" w:hAnsi="Times New Roman" w:cs="Times New Roman"/>
        </w:rPr>
        <w:t xml:space="preserve"> Economic Studies, Vol. 56, 1/2010, 21–37 doi:10.1093/</w:t>
      </w:r>
      <w:proofErr w:type="spellStart"/>
      <w:r w:rsidRPr="004D6CAB">
        <w:rPr>
          <w:rFonts w:ascii="Times New Roman" w:hAnsi="Times New Roman" w:cs="Times New Roman"/>
        </w:rPr>
        <w:t>cesifo</w:t>
      </w:r>
      <w:proofErr w:type="spellEnd"/>
      <w:r w:rsidRPr="004D6CAB">
        <w:rPr>
          <w:rFonts w:ascii="Times New Roman" w:hAnsi="Times New Roman" w:cs="Times New Roman"/>
        </w:rPr>
        <w:t>/ifp024.</w:t>
      </w:r>
    </w:p>
    <w:p w:rsidR="00500818" w:rsidRPr="004D6CAB" w:rsidRDefault="00500818" w:rsidP="008E58EC">
      <w:pPr>
        <w:pStyle w:val="Paragraphedeliste"/>
        <w:numPr>
          <w:ilvl w:val="0"/>
          <w:numId w:val="5"/>
        </w:numPr>
        <w:spacing w:after="0"/>
        <w:jc w:val="both"/>
        <w:rPr>
          <w:rFonts w:ascii="Times New Roman" w:hAnsi="Times New Roman" w:cs="Times New Roman"/>
        </w:rPr>
      </w:pPr>
      <w:r w:rsidRPr="004D6CAB">
        <w:rPr>
          <w:rFonts w:ascii="Times New Roman" w:hAnsi="Times New Roman" w:cs="Times New Roman"/>
        </w:rPr>
        <w:t xml:space="preserve">Cremer, </w:t>
      </w:r>
      <w:proofErr w:type="spellStart"/>
      <w:r w:rsidRPr="004D6CAB">
        <w:rPr>
          <w:rFonts w:ascii="Times New Roman" w:hAnsi="Times New Roman" w:cs="Times New Roman"/>
        </w:rPr>
        <w:t>Helmuth</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Gahvari</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Firouz</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Pestieu</w:t>
      </w:r>
      <w:proofErr w:type="spellEnd"/>
      <w:r w:rsidRPr="004D6CAB">
        <w:rPr>
          <w:rFonts w:ascii="Times New Roman" w:hAnsi="Times New Roman" w:cs="Times New Roman"/>
        </w:rPr>
        <w:t xml:space="preserve">, Pierre: Fertility, Human Capital Accumulation, and the Pension System. </w:t>
      </w:r>
      <w:proofErr w:type="spellStart"/>
      <w:r w:rsidRPr="004D6CAB">
        <w:rPr>
          <w:rFonts w:ascii="Times New Roman" w:hAnsi="Times New Roman" w:cs="Times New Roman"/>
        </w:rPr>
        <w:t>CESifo</w:t>
      </w:r>
      <w:proofErr w:type="spellEnd"/>
      <w:r w:rsidRPr="004D6CAB">
        <w:rPr>
          <w:rFonts w:ascii="Times New Roman" w:hAnsi="Times New Roman" w:cs="Times New Roman"/>
        </w:rPr>
        <w:t xml:space="preserve"> Working Paper 2736, July 2009. </w:t>
      </w:r>
    </w:p>
    <w:p w:rsidR="00D061A3" w:rsidRPr="004D6CAB" w:rsidRDefault="00D061A3" w:rsidP="008E58EC">
      <w:pPr>
        <w:pStyle w:val="Paragraphedeliste"/>
        <w:numPr>
          <w:ilvl w:val="0"/>
          <w:numId w:val="5"/>
        </w:numPr>
        <w:spacing w:after="0"/>
        <w:jc w:val="both"/>
        <w:rPr>
          <w:rFonts w:ascii="Times New Roman" w:hAnsi="Times New Roman" w:cs="Times New Roman"/>
          <w:lang w:val="en-US"/>
        </w:rPr>
      </w:pPr>
      <w:r w:rsidRPr="004D6CAB">
        <w:rPr>
          <w:rFonts w:ascii="Times New Roman" w:hAnsi="Times New Roman" w:cs="Times New Roman"/>
        </w:rPr>
        <w:t xml:space="preserve">French, E., Jones, J., Public pensions and </w:t>
      </w:r>
      <w:proofErr w:type="spellStart"/>
      <w:r w:rsidRPr="004D6CAB">
        <w:rPr>
          <w:rFonts w:ascii="Times New Roman" w:hAnsi="Times New Roman" w:cs="Times New Roman"/>
        </w:rPr>
        <w:t>labor</w:t>
      </w:r>
      <w:proofErr w:type="spellEnd"/>
      <w:r w:rsidRPr="004D6CAB">
        <w:rPr>
          <w:rFonts w:ascii="Times New Roman" w:hAnsi="Times New Roman" w:cs="Times New Roman"/>
        </w:rPr>
        <w:t xml:space="preserve"> supply over the life cycle, </w:t>
      </w:r>
      <w:proofErr w:type="spellStart"/>
      <w:r w:rsidRPr="004D6CAB">
        <w:rPr>
          <w:rFonts w:ascii="Times New Roman" w:hAnsi="Times New Roman" w:cs="Times New Roman"/>
        </w:rPr>
        <w:t>Int</w:t>
      </w:r>
      <w:proofErr w:type="spellEnd"/>
      <w:r w:rsidRPr="004D6CAB">
        <w:rPr>
          <w:rFonts w:ascii="Times New Roman" w:hAnsi="Times New Roman" w:cs="Times New Roman"/>
        </w:rPr>
        <w:t xml:space="preserve"> Tax Public Finance (2012) 19:268–287.</w:t>
      </w:r>
    </w:p>
    <w:p w:rsidR="00500818" w:rsidRPr="004D6CAB" w:rsidRDefault="00500818" w:rsidP="008E58EC">
      <w:pPr>
        <w:pStyle w:val="References1"/>
        <w:numPr>
          <w:ilvl w:val="0"/>
          <w:numId w:val="5"/>
        </w:numPr>
        <w:spacing w:after="0" w:line="276" w:lineRule="auto"/>
        <w:jc w:val="both"/>
        <w:rPr>
          <w:rFonts w:cs="Times New Roman"/>
          <w:lang w:val="en-US"/>
        </w:rPr>
      </w:pPr>
      <w:r w:rsidRPr="004D6CAB">
        <w:rPr>
          <w:rFonts w:cs="Times New Roman"/>
          <w:lang w:val="en-GB"/>
        </w:rPr>
        <w:t>Fernandez-</w:t>
      </w:r>
      <w:proofErr w:type="spellStart"/>
      <w:r w:rsidRPr="004D6CAB">
        <w:rPr>
          <w:rFonts w:cs="Times New Roman"/>
          <w:lang w:val="en-GB"/>
        </w:rPr>
        <w:t>Ansola</w:t>
      </w:r>
      <w:proofErr w:type="spellEnd"/>
      <w:r w:rsidRPr="004D6CAB">
        <w:rPr>
          <w:rFonts w:cs="Times New Roman"/>
          <w:lang w:val="en-GB"/>
        </w:rPr>
        <w:t xml:space="preserve">, Juan; </w:t>
      </w:r>
      <w:proofErr w:type="spellStart"/>
      <w:r w:rsidRPr="004D6CAB">
        <w:rPr>
          <w:rFonts w:cs="Times New Roman"/>
          <w:lang w:val="en-GB"/>
        </w:rPr>
        <w:t>Klemm</w:t>
      </w:r>
      <w:proofErr w:type="spellEnd"/>
      <w:r w:rsidRPr="004D6CAB">
        <w:rPr>
          <w:rFonts w:cs="Times New Roman"/>
          <w:lang w:val="en-GB"/>
        </w:rPr>
        <w:t xml:space="preserve">, Alexander: Care </w:t>
      </w:r>
      <w:proofErr w:type="spellStart"/>
      <w:r w:rsidRPr="004D6CAB">
        <w:rPr>
          <w:rFonts w:cs="Times New Roman"/>
          <w:lang w:val="en-GB"/>
        </w:rPr>
        <w:t>sunt</w:t>
      </w:r>
      <w:proofErr w:type="spellEnd"/>
      <w:r w:rsidRPr="004D6CAB">
        <w:rPr>
          <w:rFonts w:cs="Times New Roman"/>
          <w:lang w:val="en-GB"/>
        </w:rPr>
        <w:t xml:space="preserve"> </w:t>
      </w:r>
      <w:proofErr w:type="spellStart"/>
      <w:r w:rsidRPr="004D6CAB">
        <w:rPr>
          <w:rFonts w:cs="Times New Roman"/>
          <w:lang w:val="en-GB"/>
        </w:rPr>
        <w:t>efectele</w:t>
      </w:r>
      <w:proofErr w:type="spellEnd"/>
      <w:r w:rsidRPr="004D6CAB">
        <w:rPr>
          <w:rFonts w:cs="Times New Roman"/>
          <w:lang w:val="en-GB"/>
        </w:rPr>
        <w:t xml:space="preserve"> </w:t>
      </w:r>
      <w:proofErr w:type="spellStart"/>
      <w:r w:rsidRPr="004D6CAB">
        <w:rPr>
          <w:rFonts w:cs="Times New Roman"/>
          <w:lang w:val="en-GB"/>
        </w:rPr>
        <w:t>economice</w:t>
      </w:r>
      <w:proofErr w:type="spellEnd"/>
      <w:r w:rsidRPr="004D6CAB">
        <w:rPr>
          <w:rFonts w:cs="Times New Roman"/>
          <w:lang w:val="en-GB"/>
        </w:rPr>
        <w:t xml:space="preserve"> ale </w:t>
      </w:r>
      <w:proofErr w:type="spellStart"/>
      <w:r w:rsidRPr="004D6CAB">
        <w:rPr>
          <w:rFonts w:cs="Times New Roman"/>
          <w:lang w:val="en-GB"/>
        </w:rPr>
        <w:t>imbatranirii</w:t>
      </w:r>
      <w:proofErr w:type="spellEnd"/>
      <w:r w:rsidRPr="004D6CAB">
        <w:rPr>
          <w:rFonts w:cs="Times New Roman"/>
          <w:lang w:val="en-GB"/>
        </w:rPr>
        <w:t xml:space="preserve"> </w:t>
      </w:r>
      <w:proofErr w:type="spellStart"/>
      <w:r w:rsidRPr="004D6CAB">
        <w:rPr>
          <w:rFonts w:cs="Times New Roman"/>
          <w:lang w:val="en-GB"/>
        </w:rPr>
        <w:t>populatiei</w:t>
      </w:r>
      <w:proofErr w:type="spellEnd"/>
      <w:r w:rsidRPr="004D6CAB">
        <w:rPr>
          <w:rFonts w:cs="Times New Roman"/>
          <w:lang w:val="en-GB"/>
        </w:rPr>
        <w:t xml:space="preserve"> in Romania, </w:t>
      </w:r>
      <w:proofErr w:type="spellStart"/>
      <w:r w:rsidRPr="004D6CAB">
        <w:rPr>
          <w:rFonts w:cs="Times New Roman"/>
          <w:lang w:val="en-GB"/>
        </w:rPr>
        <w:t>Ziarul</w:t>
      </w:r>
      <w:proofErr w:type="spellEnd"/>
      <w:r w:rsidRPr="004D6CAB">
        <w:rPr>
          <w:rFonts w:cs="Times New Roman"/>
          <w:lang w:val="en-GB"/>
        </w:rPr>
        <w:t xml:space="preserve"> </w:t>
      </w:r>
      <w:proofErr w:type="spellStart"/>
      <w:r w:rsidRPr="004D6CAB">
        <w:rPr>
          <w:rFonts w:cs="Times New Roman"/>
          <w:lang w:val="en-GB"/>
        </w:rPr>
        <w:t>Financiar</w:t>
      </w:r>
      <w:proofErr w:type="spellEnd"/>
      <w:r w:rsidRPr="004D6CAB">
        <w:rPr>
          <w:rFonts w:cs="Times New Roman"/>
          <w:lang w:val="en-GB"/>
        </w:rPr>
        <w:t xml:space="preserve">, </w:t>
      </w:r>
      <w:proofErr w:type="gramStart"/>
      <w:r w:rsidRPr="004D6CAB">
        <w:rPr>
          <w:rFonts w:cs="Times New Roman"/>
          <w:lang w:val="en-GB"/>
        </w:rPr>
        <w:t>June</w:t>
      </w:r>
      <w:proofErr w:type="gramEnd"/>
      <w:r w:rsidRPr="004D6CAB">
        <w:rPr>
          <w:rFonts w:cs="Times New Roman"/>
          <w:lang w:val="en-GB"/>
        </w:rPr>
        <w:t xml:space="preserve"> 2007. </w:t>
      </w:r>
      <w:hyperlink r:id="rId21" w:history="1">
        <w:r w:rsidRPr="004D6CAB">
          <w:rPr>
            <w:rStyle w:val="Lienhypertexte"/>
            <w:rFonts w:cs="Times New Roman"/>
            <w:color w:val="auto"/>
            <w:lang w:val="en-US"/>
          </w:rPr>
          <w:t>http://www.zf.ro/opinii/juan-j-fernandez-ansola-alexander-klemm-care-sunt-efectele-economice-ale-imbatranirii-populatiei-in-romania-3081264/</w:t>
        </w:r>
      </w:hyperlink>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Hayashy</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Chiemi</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Olkkonen</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Heli</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Sikken</w:t>
      </w:r>
      <w:proofErr w:type="spellEnd"/>
      <w:r w:rsidRPr="004D6CAB">
        <w:rPr>
          <w:rFonts w:ascii="Times New Roman" w:hAnsi="Times New Roman" w:cs="Times New Roman"/>
        </w:rPr>
        <w:t xml:space="preserve">, Mercer; </w:t>
      </w:r>
      <w:proofErr w:type="spellStart"/>
      <w:r w:rsidRPr="004D6CAB">
        <w:rPr>
          <w:rFonts w:ascii="Times New Roman" w:hAnsi="Times New Roman" w:cs="Times New Roman"/>
        </w:rPr>
        <w:t>Yermo</w:t>
      </w:r>
      <w:proofErr w:type="spellEnd"/>
      <w:r w:rsidRPr="004D6CAB">
        <w:rPr>
          <w:rFonts w:ascii="Times New Roman" w:hAnsi="Times New Roman" w:cs="Times New Roman"/>
        </w:rPr>
        <w:t xml:space="preserve">, Juan: Transforming Pensions and Healthcare in a Rapidly Ageing World: Opportunities and Collaborative Strategies. World Economic Forum, 2009.  </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lastRenderedPageBreak/>
        <w:t>Holzmann</w:t>
      </w:r>
      <w:proofErr w:type="spellEnd"/>
      <w:r w:rsidRPr="004D6CAB">
        <w:rPr>
          <w:rFonts w:ascii="Times New Roman" w:hAnsi="Times New Roman" w:cs="Times New Roman"/>
        </w:rPr>
        <w:t xml:space="preserve">, Robert: Aging Population, Pension Funds, and Financial Markets. Regional Perspectives and Global Challenges for Central, Eastern, and Southern Europe. World Bank, 2009. </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Holzmann</w:t>
      </w:r>
      <w:proofErr w:type="spellEnd"/>
      <w:r w:rsidRPr="004D6CAB">
        <w:rPr>
          <w:rFonts w:ascii="Times New Roman" w:hAnsi="Times New Roman" w:cs="Times New Roman"/>
        </w:rPr>
        <w:t xml:space="preserve">, Robert, Mackellar, Landis, </w:t>
      </w:r>
      <w:proofErr w:type="spellStart"/>
      <w:r w:rsidRPr="004D6CAB">
        <w:rPr>
          <w:rFonts w:ascii="Times New Roman" w:hAnsi="Times New Roman" w:cs="Times New Roman"/>
        </w:rPr>
        <w:t>Repansek</w:t>
      </w:r>
      <w:proofErr w:type="spellEnd"/>
      <w:r w:rsidRPr="004D6CAB">
        <w:rPr>
          <w:rFonts w:ascii="Times New Roman" w:hAnsi="Times New Roman" w:cs="Times New Roman"/>
        </w:rPr>
        <w:t xml:space="preserve">, Jana: Pension Reform in South-Eastern Europe. World Bank, October 2008. </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Holzmann</w:t>
      </w:r>
      <w:proofErr w:type="spellEnd"/>
      <w:r w:rsidRPr="004D6CAB">
        <w:rPr>
          <w:rFonts w:ascii="Times New Roman" w:hAnsi="Times New Roman" w:cs="Times New Roman"/>
        </w:rPr>
        <w:t xml:space="preserve">, Robert; </w:t>
      </w:r>
      <w:proofErr w:type="spellStart"/>
      <w:r w:rsidRPr="004D6CAB">
        <w:rPr>
          <w:rFonts w:ascii="Times New Roman" w:hAnsi="Times New Roman" w:cs="Times New Roman"/>
        </w:rPr>
        <w:t>Guven</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Ufuk</w:t>
      </w:r>
      <w:proofErr w:type="spellEnd"/>
      <w:r w:rsidRPr="004D6CAB">
        <w:rPr>
          <w:rFonts w:ascii="Times New Roman" w:hAnsi="Times New Roman" w:cs="Times New Roman"/>
        </w:rPr>
        <w:t xml:space="preserve">: Adequacy of Retirement Income after Pension Reforms in Central, Eastern, and Southern Europe. Eight Country Studies. World Bank, 2009. </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Holzmann</w:t>
      </w:r>
      <w:proofErr w:type="spellEnd"/>
      <w:r w:rsidRPr="004D6CAB">
        <w:rPr>
          <w:rFonts w:ascii="Times New Roman" w:hAnsi="Times New Roman" w:cs="Times New Roman"/>
        </w:rPr>
        <w:t xml:space="preserve">, Robert, Mackellar, Landis, </w:t>
      </w:r>
      <w:proofErr w:type="spellStart"/>
      <w:r w:rsidRPr="004D6CAB">
        <w:rPr>
          <w:rFonts w:ascii="Times New Roman" w:hAnsi="Times New Roman" w:cs="Times New Roman"/>
        </w:rPr>
        <w:t>Repansek</w:t>
      </w:r>
      <w:proofErr w:type="spellEnd"/>
      <w:r w:rsidRPr="004D6CAB">
        <w:rPr>
          <w:rFonts w:ascii="Times New Roman" w:hAnsi="Times New Roman" w:cs="Times New Roman"/>
        </w:rPr>
        <w:t>, Jana: Pension Reform in South-Eastern Europe. Linking to Labour and Financial Market Reform. World Bank, 2009 (a).</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Holzmann</w:t>
      </w:r>
      <w:proofErr w:type="spellEnd"/>
      <w:r w:rsidRPr="004D6CAB">
        <w:rPr>
          <w:rFonts w:ascii="Times New Roman" w:hAnsi="Times New Roman" w:cs="Times New Roman"/>
        </w:rPr>
        <w:t xml:space="preserve">, Robert; </w:t>
      </w:r>
      <w:proofErr w:type="spellStart"/>
      <w:r w:rsidRPr="004D6CAB">
        <w:rPr>
          <w:rFonts w:ascii="Times New Roman" w:hAnsi="Times New Roman" w:cs="Times New Roman"/>
        </w:rPr>
        <w:t>Robalino</w:t>
      </w:r>
      <w:proofErr w:type="spellEnd"/>
      <w:r w:rsidRPr="004D6CAB">
        <w:rPr>
          <w:rFonts w:ascii="Times New Roman" w:hAnsi="Times New Roman" w:cs="Times New Roman"/>
        </w:rPr>
        <w:t xml:space="preserve">, David; </w:t>
      </w:r>
      <w:proofErr w:type="spellStart"/>
      <w:r w:rsidRPr="004D6CAB">
        <w:rPr>
          <w:rFonts w:ascii="Times New Roman" w:hAnsi="Times New Roman" w:cs="Times New Roman"/>
        </w:rPr>
        <w:t>Takayama</w:t>
      </w:r>
      <w:proofErr w:type="spellEnd"/>
      <w:r w:rsidRPr="004D6CAB">
        <w:rPr>
          <w:rFonts w:ascii="Times New Roman" w:hAnsi="Times New Roman" w:cs="Times New Roman"/>
        </w:rPr>
        <w:t>, Noriyuki: Closing the Coverage Gap. The Role of Social Pensions and other Retirement Income Transfers. World Bank, 2009 (b)</w:t>
      </w:r>
      <w:r w:rsidR="00857958">
        <w:rPr>
          <w:rFonts w:ascii="Times New Roman" w:hAnsi="Times New Roman" w:cs="Times New Roman"/>
        </w:rPr>
        <w:t>.</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Karam</w:t>
      </w:r>
      <w:proofErr w:type="spellEnd"/>
      <w:r w:rsidRPr="004D6CAB">
        <w:rPr>
          <w:rFonts w:ascii="Times New Roman" w:hAnsi="Times New Roman" w:cs="Times New Roman"/>
        </w:rPr>
        <w:t xml:space="preserve">, Philippe; Muir, Dirk; Pereira, Joana; </w:t>
      </w:r>
      <w:proofErr w:type="spellStart"/>
      <w:r w:rsidRPr="004D6CAB">
        <w:rPr>
          <w:rFonts w:ascii="Times New Roman" w:hAnsi="Times New Roman" w:cs="Times New Roman"/>
        </w:rPr>
        <w:t>Tulandhar</w:t>
      </w:r>
      <w:proofErr w:type="spellEnd"/>
      <w:r w:rsidRPr="004D6CAB">
        <w:rPr>
          <w:rFonts w:ascii="Times New Roman" w:hAnsi="Times New Roman" w:cs="Times New Roman"/>
        </w:rPr>
        <w:t xml:space="preserve">, Anita: </w:t>
      </w:r>
      <w:proofErr w:type="gramStart"/>
      <w:r w:rsidRPr="004D6CAB">
        <w:rPr>
          <w:rFonts w:ascii="Times New Roman" w:hAnsi="Times New Roman" w:cs="Times New Roman"/>
        </w:rPr>
        <w:t>Macroeconomic  Effects</w:t>
      </w:r>
      <w:proofErr w:type="gramEnd"/>
      <w:r w:rsidRPr="004D6CAB">
        <w:rPr>
          <w:rFonts w:ascii="Times New Roman" w:hAnsi="Times New Roman" w:cs="Times New Roman"/>
        </w:rPr>
        <w:t xml:space="preserve"> of Public Pension Reforms, IMF Working Paper WP/10/297, December 2010. </w:t>
      </w:r>
    </w:p>
    <w:p w:rsidR="000076BD" w:rsidRPr="004D6CAB" w:rsidRDefault="000076BD"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Karlström</w:t>
      </w:r>
      <w:proofErr w:type="spellEnd"/>
      <w:r w:rsidRPr="004D6CAB">
        <w:rPr>
          <w:rFonts w:ascii="Times New Roman" w:hAnsi="Times New Roman" w:cs="Times New Roman"/>
        </w:rPr>
        <w:t xml:space="preserve">, A., Palme , M., </w:t>
      </w:r>
      <w:proofErr w:type="spellStart"/>
      <w:r w:rsidRPr="004D6CAB">
        <w:rPr>
          <w:rFonts w:ascii="Times New Roman" w:hAnsi="Times New Roman" w:cs="Times New Roman"/>
        </w:rPr>
        <w:t>Svensson</w:t>
      </w:r>
      <w:proofErr w:type="spellEnd"/>
      <w:r w:rsidRPr="004D6CAB">
        <w:rPr>
          <w:rFonts w:ascii="Times New Roman" w:hAnsi="Times New Roman" w:cs="Times New Roman"/>
        </w:rPr>
        <w:t xml:space="preserve">, I., Assessing the welfare change from a pension reform, </w:t>
      </w:r>
      <w:proofErr w:type="spellStart"/>
      <w:r w:rsidRPr="004D6CAB">
        <w:rPr>
          <w:rFonts w:ascii="Times New Roman" w:hAnsi="Times New Roman" w:cs="Times New Roman"/>
        </w:rPr>
        <w:t>Int</w:t>
      </w:r>
      <w:proofErr w:type="spellEnd"/>
      <w:r w:rsidRPr="004D6CAB">
        <w:rPr>
          <w:rFonts w:ascii="Times New Roman" w:hAnsi="Times New Roman" w:cs="Times New Roman"/>
        </w:rPr>
        <w:t xml:space="preserve"> Tax Public Finance (2011) 18:634–657, DOI 10.1007/s10797-011-9178-8.</w:t>
      </w:r>
    </w:p>
    <w:p w:rsidR="00500818" w:rsidRPr="004D6CAB" w:rsidRDefault="00500818" w:rsidP="008E58EC">
      <w:pPr>
        <w:pStyle w:val="Paragraphedeliste"/>
        <w:numPr>
          <w:ilvl w:val="0"/>
          <w:numId w:val="5"/>
        </w:numPr>
        <w:spacing w:after="0"/>
        <w:jc w:val="both"/>
        <w:rPr>
          <w:rFonts w:ascii="Times New Roman" w:hAnsi="Times New Roman" w:cs="Times New Roman"/>
        </w:rPr>
      </w:pPr>
      <w:r w:rsidRPr="004D6CAB">
        <w:rPr>
          <w:rFonts w:ascii="Times New Roman" w:hAnsi="Times New Roman" w:cs="Times New Roman"/>
        </w:rPr>
        <w:t>Lee, Ronald; Mason, Andrew</w:t>
      </w:r>
      <w:proofErr w:type="gramStart"/>
      <w:r w:rsidRPr="004D6CAB">
        <w:rPr>
          <w:rFonts w:ascii="Times New Roman" w:hAnsi="Times New Roman" w:cs="Times New Roman"/>
        </w:rPr>
        <w:t xml:space="preserve">;  </w:t>
      </w:r>
      <w:proofErr w:type="spellStart"/>
      <w:r w:rsidRPr="004D6CAB">
        <w:rPr>
          <w:rFonts w:ascii="Times New Roman" w:hAnsi="Times New Roman" w:cs="Times New Roman"/>
        </w:rPr>
        <w:t>Cotlear</w:t>
      </w:r>
      <w:proofErr w:type="spellEnd"/>
      <w:proofErr w:type="gramEnd"/>
      <w:r w:rsidRPr="004D6CAB">
        <w:rPr>
          <w:rFonts w:ascii="Times New Roman" w:hAnsi="Times New Roman" w:cs="Times New Roman"/>
        </w:rPr>
        <w:t xml:space="preserve">, Daniel: Some Economic Consequences of Global Aging. A Discussion Note for the World Bank, November, 2010. </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Mitra</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Pradeep</w:t>
      </w:r>
      <w:proofErr w:type="spellEnd"/>
      <w:r w:rsidRPr="004D6CAB">
        <w:rPr>
          <w:rFonts w:ascii="Times New Roman" w:hAnsi="Times New Roman" w:cs="Times New Roman"/>
        </w:rPr>
        <w:t xml:space="preserve">: Innovation, Inclusion and Integration. From Transition to Convergence in Eastern Europe and the Former Soviet Union. World Bank, 2008. </w:t>
      </w:r>
    </w:p>
    <w:p w:rsidR="00500818" w:rsidRPr="004D6CAB" w:rsidRDefault="00500818" w:rsidP="008E58EC">
      <w:pPr>
        <w:pStyle w:val="Paragraphedeliste"/>
        <w:numPr>
          <w:ilvl w:val="0"/>
          <w:numId w:val="5"/>
        </w:numPr>
        <w:spacing w:after="0"/>
        <w:jc w:val="both"/>
        <w:rPr>
          <w:rFonts w:ascii="Times New Roman" w:hAnsi="Times New Roman" w:cs="Times New Roman"/>
        </w:rPr>
      </w:pPr>
      <w:r w:rsidRPr="004D6CAB">
        <w:rPr>
          <w:rFonts w:ascii="Times New Roman" w:hAnsi="Times New Roman" w:cs="Times New Roman"/>
        </w:rPr>
        <w:t xml:space="preserve">Ponds, Edward; </w:t>
      </w:r>
      <w:proofErr w:type="spellStart"/>
      <w:r w:rsidRPr="004D6CAB">
        <w:rPr>
          <w:rFonts w:ascii="Times New Roman" w:hAnsi="Times New Roman" w:cs="Times New Roman"/>
        </w:rPr>
        <w:t>Severinson</w:t>
      </w:r>
      <w:proofErr w:type="spellEnd"/>
      <w:r w:rsidRPr="004D6CAB">
        <w:rPr>
          <w:rFonts w:ascii="Times New Roman" w:hAnsi="Times New Roman" w:cs="Times New Roman"/>
        </w:rPr>
        <w:t xml:space="preserve">, Clara, </w:t>
      </w:r>
      <w:proofErr w:type="spellStart"/>
      <w:r w:rsidRPr="004D6CAB">
        <w:rPr>
          <w:rFonts w:ascii="Times New Roman" w:hAnsi="Times New Roman" w:cs="Times New Roman"/>
        </w:rPr>
        <w:t>Yermo</w:t>
      </w:r>
      <w:proofErr w:type="spellEnd"/>
      <w:r w:rsidRPr="004D6CAB">
        <w:rPr>
          <w:rFonts w:ascii="Times New Roman" w:hAnsi="Times New Roman" w:cs="Times New Roman"/>
        </w:rPr>
        <w:t xml:space="preserve">, Juan: Funding in Public Sector Pension Plans: International Evidence. OECD Working Papers on Finance, Insurance and Private Pensions No. 8, Paris 2011. </w:t>
      </w:r>
      <w:hyperlink r:id="rId22" w:history="1">
        <w:r w:rsidRPr="004D6CAB">
          <w:rPr>
            <w:rStyle w:val="Lienhypertexte"/>
            <w:rFonts w:ascii="Times New Roman" w:hAnsi="Times New Roman" w:cs="Times New Roman"/>
            <w:color w:val="auto"/>
          </w:rPr>
          <w:t>http://dx.doi.org/10.1787/5kgcfnm8rgmp-en</w:t>
        </w:r>
      </w:hyperlink>
    </w:p>
    <w:p w:rsidR="0090282C" w:rsidRDefault="0090282C" w:rsidP="008E58EC">
      <w:pPr>
        <w:pStyle w:val="References1"/>
        <w:numPr>
          <w:ilvl w:val="0"/>
          <w:numId w:val="5"/>
        </w:numPr>
        <w:spacing w:after="0"/>
        <w:jc w:val="both"/>
        <w:rPr>
          <w:rFonts w:cs="Times New Roman"/>
          <w:lang w:val="en-GB"/>
        </w:rPr>
      </w:pPr>
      <w:proofErr w:type="spellStart"/>
      <w:r w:rsidRPr="004D6CAB">
        <w:rPr>
          <w:rFonts w:cs="Times New Roman"/>
          <w:lang w:val="en-GB"/>
        </w:rPr>
        <w:t>Preda</w:t>
      </w:r>
      <w:proofErr w:type="spellEnd"/>
      <w:r w:rsidRPr="004D6CAB">
        <w:rPr>
          <w:rFonts w:cs="Times New Roman"/>
          <w:lang w:val="en-GB"/>
        </w:rPr>
        <w:t xml:space="preserve">, M., </w:t>
      </w:r>
      <w:proofErr w:type="spellStart"/>
      <w:r w:rsidRPr="004D6CAB">
        <w:rPr>
          <w:rFonts w:cs="Times New Roman"/>
          <w:lang w:val="en-GB"/>
        </w:rPr>
        <w:t>Grigoras</w:t>
      </w:r>
      <w:proofErr w:type="spellEnd"/>
      <w:r w:rsidRPr="004D6CAB">
        <w:rPr>
          <w:rFonts w:cs="Times New Roman"/>
          <w:lang w:val="en-GB"/>
        </w:rPr>
        <w:t xml:space="preserve">, V., The Public Pension System in Romania: Myths and Facts, Transylvanian Review of Administrative </w:t>
      </w:r>
      <w:proofErr w:type="spellStart"/>
      <w:r w:rsidRPr="004D6CAB">
        <w:rPr>
          <w:rFonts w:cs="Times New Roman"/>
          <w:lang w:val="en-GB"/>
        </w:rPr>
        <w:t>Sciences,No</w:t>
      </w:r>
      <w:proofErr w:type="spellEnd"/>
      <w:r w:rsidRPr="004D6CAB">
        <w:rPr>
          <w:rFonts w:cs="Times New Roman"/>
          <w:lang w:val="en-GB"/>
        </w:rPr>
        <w:t>. 32 E/2011, pp. 235-251</w:t>
      </w:r>
    </w:p>
    <w:p w:rsidR="00857958" w:rsidRPr="004D6CAB" w:rsidRDefault="00857958" w:rsidP="00857958">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Ramaswamy</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Srichander</w:t>
      </w:r>
      <w:proofErr w:type="spellEnd"/>
      <w:r w:rsidRPr="004D6CAB">
        <w:rPr>
          <w:rFonts w:ascii="Times New Roman" w:hAnsi="Times New Roman" w:cs="Times New Roman"/>
        </w:rPr>
        <w:t xml:space="preserve">: The sustainability of pension schemes. BIS Working Papers No. 368, Basel, January 2012. </w:t>
      </w:r>
      <w:hyperlink r:id="rId23" w:history="1">
        <w:r w:rsidRPr="004D6CAB">
          <w:rPr>
            <w:rStyle w:val="Lienhypertexte"/>
            <w:rFonts w:ascii="Times New Roman" w:hAnsi="Times New Roman" w:cs="Times New Roman"/>
            <w:color w:val="auto"/>
          </w:rPr>
          <w:t>http://www.bis.org/publ/work368.htm</w:t>
        </w:r>
      </w:hyperlink>
      <w:r w:rsidRPr="004D6CAB">
        <w:rPr>
          <w:rFonts w:ascii="Times New Roman" w:hAnsi="Times New Roman" w:cs="Times New Roman"/>
        </w:rPr>
        <w:t xml:space="preserve"> </w:t>
      </w:r>
    </w:p>
    <w:p w:rsidR="00500818" w:rsidRPr="004D6CAB" w:rsidRDefault="00500818" w:rsidP="008E58EC">
      <w:pPr>
        <w:pStyle w:val="References1"/>
        <w:numPr>
          <w:ilvl w:val="0"/>
          <w:numId w:val="5"/>
        </w:numPr>
        <w:spacing w:after="0" w:line="276" w:lineRule="auto"/>
        <w:jc w:val="both"/>
        <w:rPr>
          <w:rFonts w:cs="Times New Roman"/>
        </w:rPr>
      </w:pPr>
      <w:proofErr w:type="spellStart"/>
      <w:r w:rsidRPr="004D6CAB">
        <w:rPr>
          <w:rFonts w:cs="Times New Roman"/>
          <w:lang w:val="en-GB"/>
        </w:rPr>
        <w:t>Soare</w:t>
      </w:r>
      <w:proofErr w:type="spellEnd"/>
      <w:r w:rsidRPr="004D6CAB">
        <w:rPr>
          <w:rFonts w:cs="Times New Roman"/>
          <w:lang w:val="en-GB"/>
        </w:rPr>
        <w:t xml:space="preserve">, </w:t>
      </w:r>
      <w:proofErr w:type="spellStart"/>
      <w:r w:rsidRPr="004D6CAB">
        <w:rPr>
          <w:rFonts w:cs="Times New Roman"/>
          <w:lang w:val="en-GB"/>
        </w:rPr>
        <w:t>Ioana</w:t>
      </w:r>
      <w:proofErr w:type="spellEnd"/>
      <w:r w:rsidRPr="004D6CAB">
        <w:rPr>
          <w:rFonts w:cs="Times New Roman"/>
          <w:lang w:val="en-GB"/>
        </w:rPr>
        <w:t xml:space="preserve">: </w:t>
      </w:r>
      <w:proofErr w:type="spellStart"/>
      <w:r w:rsidRPr="004D6CAB">
        <w:rPr>
          <w:rFonts w:cs="Times New Roman"/>
          <w:lang w:val="en-GB"/>
        </w:rPr>
        <w:t>Pensionarile</w:t>
      </w:r>
      <w:proofErr w:type="spellEnd"/>
      <w:r w:rsidRPr="004D6CAB">
        <w:rPr>
          <w:rFonts w:cs="Times New Roman"/>
          <w:lang w:val="en-GB"/>
        </w:rPr>
        <w:t xml:space="preserve"> de </w:t>
      </w:r>
      <w:proofErr w:type="spellStart"/>
      <w:r w:rsidRPr="004D6CAB">
        <w:rPr>
          <w:rFonts w:cs="Times New Roman"/>
          <w:lang w:val="en-GB"/>
        </w:rPr>
        <w:t>invaliditate</w:t>
      </w:r>
      <w:proofErr w:type="spellEnd"/>
      <w:r w:rsidRPr="004D6CAB">
        <w:rPr>
          <w:rFonts w:cs="Times New Roman"/>
          <w:lang w:val="en-GB"/>
        </w:rPr>
        <w:t xml:space="preserve"> in Romania. </w:t>
      </w:r>
      <w:proofErr w:type="spellStart"/>
      <w:r w:rsidRPr="004D6CAB">
        <w:rPr>
          <w:rFonts w:cs="Times New Roman"/>
          <w:lang w:val="en-GB"/>
        </w:rPr>
        <w:t>Viata</w:t>
      </w:r>
      <w:proofErr w:type="spellEnd"/>
      <w:r w:rsidRPr="004D6CAB">
        <w:rPr>
          <w:rFonts w:cs="Times New Roman"/>
          <w:lang w:val="en-GB"/>
        </w:rPr>
        <w:t xml:space="preserve"> </w:t>
      </w:r>
      <w:proofErr w:type="spellStart"/>
      <w:r w:rsidRPr="004D6CAB">
        <w:rPr>
          <w:rFonts w:cs="Times New Roman"/>
          <w:lang w:val="en-GB"/>
        </w:rPr>
        <w:t>Medicala</w:t>
      </w:r>
      <w:proofErr w:type="spellEnd"/>
      <w:r w:rsidRPr="004D6CAB">
        <w:rPr>
          <w:rFonts w:cs="Times New Roman"/>
          <w:lang w:val="en-GB"/>
        </w:rPr>
        <w:t xml:space="preserve"> No. 51-52, </w:t>
      </w:r>
      <w:proofErr w:type="spellStart"/>
      <w:r w:rsidRPr="004D6CAB">
        <w:rPr>
          <w:rFonts w:cs="Times New Roman"/>
          <w:lang w:val="en-GB"/>
        </w:rPr>
        <w:t>Bucuresti</w:t>
      </w:r>
      <w:proofErr w:type="spellEnd"/>
      <w:r w:rsidRPr="004D6CAB">
        <w:rPr>
          <w:rFonts w:cs="Times New Roman"/>
          <w:lang w:val="en-GB"/>
        </w:rPr>
        <w:t xml:space="preserve">, 2010. </w:t>
      </w:r>
      <w:hyperlink r:id="rId24" w:history="1">
        <w:r w:rsidRPr="004D6CAB">
          <w:rPr>
            <w:rStyle w:val="Lienhypertexte"/>
            <w:rFonts w:cs="Times New Roman"/>
            <w:color w:val="auto"/>
          </w:rPr>
          <w:t>http://www.viata-medicala.ro/Pension%C4%83rile-de-invaliditate-in-Romania.html*articleID_1304-dArt.html</w:t>
        </w:r>
      </w:hyperlink>
    </w:p>
    <w:p w:rsidR="00CA73DC" w:rsidRPr="004D6CAB" w:rsidRDefault="00CA73DC"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Sayan</w:t>
      </w:r>
      <w:proofErr w:type="spellEnd"/>
      <w:r w:rsidRPr="004D6CAB">
        <w:rPr>
          <w:rFonts w:ascii="Times New Roman" w:hAnsi="Times New Roman" w:cs="Times New Roman"/>
        </w:rPr>
        <w:t xml:space="preserve">, S., </w:t>
      </w:r>
      <w:proofErr w:type="spellStart"/>
      <w:r w:rsidRPr="004D6CAB">
        <w:rPr>
          <w:rFonts w:ascii="Times New Roman" w:hAnsi="Times New Roman" w:cs="Times New Roman"/>
        </w:rPr>
        <w:t>Kiraci</w:t>
      </w:r>
      <w:proofErr w:type="spellEnd"/>
      <w:r w:rsidRPr="004D6CAB">
        <w:rPr>
          <w:rFonts w:ascii="Times New Roman" w:hAnsi="Times New Roman" w:cs="Times New Roman"/>
        </w:rPr>
        <w:t>, A., Parametric pension reform with higher retirement ages: A computational investigation of alternatives for a pay-as-you-go-based pension system, Journal of Economic Dynamics &amp; Control 25 (2001) 951}966;</w:t>
      </w:r>
    </w:p>
    <w:p w:rsidR="00500818" w:rsidRPr="004D6CAB" w:rsidRDefault="00500818" w:rsidP="008E58EC">
      <w:pPr>
        <w:pStyle w:val="Paragraphedeliste"/>
        <w:numPr>
          <w:ilvl w:val="0"/>
          <w:numId w:val="5"/>
        </w:numPr>
        <w:spacing w:after="0"/>
        <w:jc w:val="both"/>
        <w:rPr>
          <w:rFonts w:ascii="Times New Roman" w:hAnsi="Times New Roman" w:cs="Times New Roman"/>
        </w:rPr>
      </w:pPr>
      <w:proofErr w:type="spellStart"/>
      <w:r w:rsidRPr="004D6CAB">
        <w:rPr>
          <w:rFonts w:ascii="Times New Roman" w:hAnsi="Times New Roman" w:cs="Times New Roman"/>
        </w:rPr>
        <w:t>Zaidi</w:t>
      </w:r>
      <w:proofErr w:type="spellEnd"/>
      <w:r w:rsidRPr="004D6CAB">
        <w:rPr>
          <w:rFonts w:ascii="Times New Roman" w:hAnsi="Times New Roman" w:cs="Times New Roman"/>
        </w:rPr>
        <w:t xml:space="preserve">, </w:t>
      </w:r>
      <w:proofErr w:type="spellStart"/>
      <w:r w:rsidRPr="004D6CAB">
        <w:rPr>
          <w:rFonts w:ascii="Times New Roman" w:hAnsi="Times New Roman" w:cs="Times New Roman"/>
        </w:rPr>
        <w:t>Asghar</w:t>
      </w:r>
      <w:proofErr w:type="spellEnd"/>
      <w:r w:rsidRPr="004D6CAB">
        <w:rPr>
          <w:rFonts w:ascii="Times New Roman" w:hAnsi="Times New Roman" w:cs="Times New Roman"/>
        </w:rPr>
        <w:t xml:space="preserve">:  Sustainability and adequacy of pensions in EU countries. A cross-national perspective. European Centre for Social Welfare Policy and Research Working Paper, Vienna, September 2010. </w:t>
      </w:r>
    </w:p>
    <w:p w:rsidR="00500818" w:rsidRPr="004D6CAB" w:rsidRDefault="00500818" w:rsidP="008E58EC">
      <w:pPr>
        <w:pStyle w:val="Paragraphedeliste"/>
        <w:numPr>
          <w:ilvl w:val="0"/>
          <w:numId w:val="5"/>
        </w:numPr>
        <w:spacing w:after="0"/>
        <w:jc w:val="both"/>
        <w:rPr>
          <w:rFonts w:ascii="Times New Roman" w:hAnsi="Times New Roman" w:cs="Times New Roman"/>
          <w:lang w:val="en-US"/>
        </w:rPr>
      </w:pPr>
      <w:r w:rsidRPr="004D6CAB">
        <w:rPr>
          <w:rFonts w:ascii="Times New Roman" w:hAnsi="Times New Roman" w:cs="Times New Roman"/>
          <w:lang w:val="en-US"/>
        </w:rPr>
        <w:t xml:space="preserve">Zaman, C: Annual National Report 2012. Pensions, Health Care and Long-term Care. Country Report Romania. EC-ASISP, March 2012 </w:t>
      </w:r>
      <w:hyperlink r:id="rId25" w:history="1">
        <w:r w:rsidRPr="004D6CAB">
          <w:rPr>
            <w:rStyle w:val="Lienhypertexte"/>
            <w:rFonts w:ascii="Times New Roman" w:hAnsi="Times New Roman" w:cs="Times New Roman"/>
            <w:color w:val="auto"/>
          </w:rPr>
          <w:t>http://www.socialprotection.eu/files_db/1282/asisp_ANR12_ROMANIA.pdf</w:t>
        </w:r>
      </w:hyperlink>
    </w:p>
    <w:p w:rsidR="008E58EC" w:rsidRPr="004D6CAB" w:rsidRDefault="008E58EC" w:rsidP="008E58EC">
      <w:pPr>
        <w:pStyle w:val="References1"/>
        <w:numPr>
          <w:ilvl w:val="0"/>
          <w:numId w:val="5"/>
        </w:numPr>
        <w:spacing w:after="0" w:line="276" w:lineRule="auto"/>
        <w:jc w:val="both"/>
        <w:rPr>
          <w:rFonts w:cs="Times New Roman"/>
          <w:bCs w:val="0"/>
          <w:lang w:val="fr-FR"/>
        </w:rPr>
      </w:pPr>
      <w:r w:rsidRPr="004D6CAB">
        <w:rPr>
          <w:rFonts w:cs="Times New Roman"/>
          <w:lang w:val="fr-FR"/>
        </w:rPr>
        <w:t>APAPR (</w:t>
      </w:r>
      <w:proofErr w:type="spellStart"/>
      <w:r w:rsidRPr="004D6CAB">
        <w:rPr>
          <w:rFonts w:cs="Times New Roman"/>
          <w:lang w:val="fr-FR"/>
        </w:rPr>
        <w:t>Asociatia</w:t>
      </w:r>
      <w:proofErr w:type="spellEnd"/>
      <w:r w:rsidRPr="004D6CAB">
        <w:rPr>
          <w:rFonts w:cs="Times New Roman"/>
          <w:lang w:val="fr-FR"/>
        </w:rPr>
        <w:t xml:space="preserve"> </w:t>
      </w:r>
      <w:proofErr w:type="spellStart"/>
      <w:r w:rsidRPr="004D6CAB">
        <w:rPr>
          <w:rFonts w:cs="Times New Roman"/>
          <w:lang w:val="fr-FR"/>
        </w:rPr>
        <w:t>Pensiilor</w:t>
      </w:r>
      <w:proofErr w:type="spellEnd"/>
      <w:r w:rsidRPr="004D6CAB">
        <w:rPr>
          <w:rFonts w:cs="Times New Roman"/>
          <w:lang w:val="fr-FR"/>
        </w:rPr>
        <w:t xml:space="preserve"> </w:t>
      </w:r>
      <w:proofErr w:type="spellStart"/>
      <w:r w:rsidRPr="004D6CAB">
        <w:rPr>
          <w:rFonts w:cs="Times New Roman"/>
          <w:lang w:val="fr-FR"/>
        </w:rPr>
        <w:t>Administrate</w:t>
      </w:r>
      <w:proofErr w:type="spellEnd"/>
      <w:r w:rsidRPr="004D6CAB">
        <w:rPr>
          <w:rFonts w:cs="Times New Roman"/>
          <w:lang w:val="fr-FR"/>
        </w:rPr>
        <w:t xml:space="preserve"> Privat </w:t>
      </w:r>
      <w:proofErr w:type="spellStart"/>
      <w:r w:rsidRPr="004D6CAB">
        <w:rPr>
          <w:rFonts w:cs="Times New Roman"/>
          <w:lang w:val="fr-FR"/>
        </w:rPr>
        <w:t>din</w:t>
      </w:r>
      <w:proofErr w:type="spellEnd"/>
      <w:r w:rsidRPr="004D6CAB">
        <w:rPr>
          <w:rFonts w:cs="Times New Roman"/>
          <w:lang w:val="fr-FR"/>
        </w:rPr>
        <w:t xml:space="preserve"> Romania) : Reforma </w:t>
      </w:r>
      <w:proofErr w:type="spellStart"/>
      <w:r w:rsidRPr="004D6CAB">
        <w:rPr>
          <w:rFonts w:cs="Times New Roman"/>
          <w:lang w:val="fr-FR"/>
        </w:rPr>
        <w:t>pensiilor</w:t>
      </w:r>
      <w:proofErr w:type="spellEnd"/>
      <w:r w:rsidRPr="004D6CAB">
        <w:rPr>
          <w:rFonts w:cs="Times New Roman"/>
          <w:lang w:val="fr-FR"/>
        </w:rPr>
        <w:t xml:space="preserve"> - de </w:t>
      </w:r>
      <w:proofErr w:type="gramStart"/>
      <w:r w:rsidRPr="004D6CAB">
        <w:rPr>
          <w:rFonts w:cs="Times New Roman"/>
          <w:lang w:val="fr-FR"/>
        </w:rPr>
        <w:t>ce</w:t>
      </w:r>
      <w:proofErr w:type="gramEnd"/>
      <w:r w:rsidRPr="004D6CAB">
        <w:rPr>
          <w:rFonts w:cs="Times New Roman"/>
          <w:lang w:val="fr-FR"/>
        </w:rPr>
        <w:t xml:space="preserve"> este </w:t>
      </w:r>
      <w:proofErr w:type="spellStart"/>
      <w:r w:rsidRPr="004D6CAB">
        <w:rPr>
          <w:rFonts w:cs="Times New Roman"/>
          <w:lang w:val="fr-FR"/>
        </w:rPr>
        <w:t>nevoie</w:t>
      </w:r>
      <w:proofErr w:type="spellEnd"/>
      <w:r w:rsidRPr="004D6CAB">
        <w:rPr>
          <w:rFonts w:cs="Times New Roman"/>
          <w:lang w:val="fr-FR"/>
        </w:rPr>
        <w:t xml:space="preserve"> de </w:t>
      </w:r>
      <w:proofErr w:type="spellStart"/>
      <w:r w:rsidRPr="004D6CAB">
        <w:rPr>
          <w:rFonts w:cs="Times New Roman"/>
          <w:lang w:val="fr-FR"/>
        </w:rPr>
        <w:t>pensiile</w:t>
      </w:r>
      <w:proofErr w:type="spellEnd"/>
      <w:r w:rsidRPr="004D6CAB">
        <w:rPr>
          <w:rFonts w:cs="Times New Roman"/>
          <w:lang w:val="fr-FR"/>
        </w:rPr>
        <w:t xml:space="preserve"> </w:t>
      </w:r>
      <w:proofErr w:type="spellStart"/>
      <w:r w:rsidRPr="004D6CAB">
        <w:rPr>
          <w:rFonts w:cs="Times New Roman"/>
          <w:lang w:val="fr-FR"/>
        </w:rPr>
        <w:t>private</w:t>
      </w:r>
      <w:proofErr w:type="spellEnd"/>
      <w:r w:rsidRPr="004D6CAB">
        <w:rPr>
          <w:rFonts w:cs="Times New Roman"/>
          <w:lang w:val="fr-FR"/>
        </w:rPr>
        <w:t>?</w:t>
      </w:r>
      <w:r w:rsidRPr="004D6CAB">
        <w:rPr>
          <w:rFonts w:cs="Times New Roman"/>
          <w:bCs w:val="0"/>
          <w:lang w:val="fr-FR"/>
        </w:rPr>
        <w:t xml:space="preserve"> Bucuresti 2012. </w:t>
      </w:r>
      <w:hyperlink r:id="rId26" w:history="1">
        <w:r w:rsidRPr="004D6CAB">
          <w:rPr>
            <w:rStyle w:val="Lienhypertexte"/>
            <w:rFonts w:cs="Times New Roman"/>
            <w:color w:val="auto"/>
            <w:lang w:val="fr-FR"/>
          </w:rPr>
          <w:t>http://www.apapr.ro/reforma.html</w:t>
        </w:r>
      </w:hyperlink>
    </w:p>
    <w:p w:rsidR="008E58EC" w:rsidRPr="004D6CAB" w:rsidRDefault="008E58EC" w:rsidP="008E58EC">
      <w:pPr>
        <w:pStyle w:val="Paragraphedeliste"/>
        <w:numPr>
          <w:ilvl w:val="0"/>
          <w:numId w:val="5"/>
        </w:numPr>
        <w:autoSpaceDE w:val="0"/>
        <w:autoSpaceDN w:val="0"/>
        <w:adjustRightInd w:val="0"/>
        <w:spacing w:after="0"/>
        <w:jc w:val="both"/>
        <w:rPr>
          <w:rFonts w:ascii="Times New Roman" w:hAnsi="Times New Roman" w:cs="Times New Roman"/>
          <w:lang w:val="en-US"/>
        </w:rPr>
      </w:pPr>
      <w:r w:rsidRPr="004D6CAB">
        <w:rPr>
          <w:rFonts w:ascii="Times New Roman" w:hAnsi="Times New Roman" w:cs="Times New Roman"/>
        </w:rPr>
        <w:lastRenderedPageBreak/>
        <w:t xml:space="preserve">EC (European Commission): Green Paper: </w:t>
      </w:r>
      <w:r w:rsidRPr="004D6CAB">
        <w:rPr>
          <w:rFonts w:ascii="Times New Roman" w:hAnsi="Times New Roman" w:cs="Times New Roman"/>
          <w:bCs/>
          <w:lang w:val="en-US"/>
        </w:rPr>
        <w:t xml:space="preserve">Towards adequate, sustainable and safe European pension systems. </w:t>
      </w:r>
      <w:r w:rsidRPr="004D6CAB">
        <w:rPr>
          <w:rFonts w:ascii="Times New Roman" w:hAnsi="Times New Roman" w:cs="Times New Roman"/>
          <w:lang w:val="en-US"/>
        </w:rPr>
        <w:t>Brussels, 2010.</w:t>
      </w:r>
    </w:p>
    <w:p w:rsidR="008E58EC" w:rsidRPr="004D6CAB" w:rsidRDefault="008E58EC" w:rsidP="008E58EC">
      <w:pPr>
        <w:pStyle w:val="Paragraphedeliste"/>
        <w:numPr>
          <w:ilvl w:val="0"/>
          <w:numId w:val="5"/>
        </w:numPr>
        <w:spacing w:after="0"/>
        <w:jc w:val="both"/>
        <w:rPr>
          <w:rFonts w:ascii="Times New Roman" w:hAnsi="Times New Roman" w:cs="Times New Roman"/>
        </w:rPr>
      </w:pPr>
      <w:r w:rsidRPr="004D6CAB">
        <w:rPr>
          <w:rFonts w:ascii="Times New Roman" w:hAnsi="Times New Roman" w:cs="Times New Roman"/>
        </w:rPr>
        <w:t>EC: The 2012 Ageing Report:  Underlying Assumptions and Projection Methodologies. Joint Report prepared by the European Commission (DG ECFIN) and the Economic Policy Committee (AWG). European Economy 4/2011.</w:t>
      </w:r>
    </w:p>
    <w:p w:rsidR="00DF5CA6" w:rsidRPr="004D6CAB" w:rsidRDefault="00DF5CA6" w:rsidP="00DF5CA6">
      <w:pPr>
        <w:pStyle w:val="Paragraphedeliste"/>
        <w:numPr>
          <w:ilvl w:val="0"/>
          <w:numId w:val="5"/>
        </w:numPr>
        <w:spacing w:after="0"/>
        <w:jc w:val="both"/>
        <w:rPr>
          <w:rFonts w:ascii="Times New Roman" w:hAnsi="Times New Roman" w:cs="Times New Roman"/>
        </w:rPr>
      </w:pPr>
      <w:r w:rsidRPr="004D6CAB">
        <w:rPr>
          <w:rFonts w:ascii="Times New Roman" w:hAnsi="Times New Roman" w:cs="Times New Roman"/>
        </w:rPr>
        <w:t xml:space="preserve">IMF: The Challenge of Public Pension Reform in Advanced and Emerging Economies. IMF Fiscal Affairs Department, December 2011. </w:t>
      </w:r>
      <w:hyperlink r:id="rId27" w:history="1">
        <w:r w:rsidRPr="004D6CAB">
          <w:rPr>
            <w:rStyle w:val="Lienhypertexte"/>
            <w:rFonts w:ascii="Times New Roman" w:hAnsi="Times New Roman" w:cs="Times New Roman"/>
            <w:color w:val="auto"/>
          </w:rPr>
          <w:t>https://www.imf.org/external/np/pp/eng/2011/122811.pdf</w:t>
        </w:r>
      </w:hyperlink>
    </w:p>
    <w:p w:rsidR="008E58EC" w:rsidRPr="004D6CAB" w:rsidRDefault="008E58EC" w:rsidP="00DF5CA6">
      <w:pPr>
        <w:pStyle w:val="Paragraphedeliste"/>
        <w:spacing w:after="0"/>
        <w:jc w:val="both"/>
        <w:rPr>
          <w:rFonts w:ascii="Times New Roman" w:hAnsi="Times New Roman" w:cs="Times New Roman"/>
          <w:lang w:val="en-US"/>
        </w:rPr>
      </w:pPr>
    </w:p>
    <w:p w:rsidR="008E58EC" w:rsidRPr="004D6CAB" w:rsidRDefault="008E58EC" w:rsidP="008E58EC">
      <w:pPr>
        <w:spacing w:after="0"/>
        <w:jc w:val="both"/>
        <w:rPr>
          <w:rFonts w:ascii="Times New Roman" w:hAnsi="Times New Roman" w:cs="Times New Roman"/>
          <w:lang w:val="en-US"/>
        </w:rPr>
      </w:pPr>
    </w:p>
    <w:p w:rsidR="008E58EC" w:rsidRPr="004D6CAB" w:rsidRDefault="008E58EC" w:rsidP="008E58EC">
      <w:pPr>
        <w:spacing w:after="0"/>
        <w:jc w:val="both"/>
        <w:rPr>
          <w:rFonts w:ascii="Times New Roman" w:hAnsi="Times New Roman" w:cs="Times New Roman"/>
          <w:lang w:val="en-US"/>
        </w:rPr>
      </w:pPr>
    </w:p>
    <w:p w:rsidR="008E58EC" w:rsidRPr="004D6CAB" w:rsidRDefault="008E58EC" w:rsidP="008E58EC">
      <w:pPr>
        <w:spacing w:after="0"/>
        <w:jc w:val="both"/>
        <w:rPr>
          <w:rFonts w:ascii="Times New Roman" w:hAnsi="Times New Roman" w:cs="Times New Roman"/>
          <w:lang w:val="en-US"/>
        </w:rPr>
      </w:pPr>
    </w:p>
    <w:p w:rsidR="00500818" w:rsidRPr="004D6CAB" w:rsidRDefault="00500818" w:rsidP="00500818">
      <w:pPr>
        <w:spacing w:after="0"/>
        <w:jc w:val="both"/>
        <w:rPr>
          <w:rFonts w:ascii="Times New Roman" w:hAnsi="Times New Roman" w:cs="Times New Roman"/>
          <w:lang w:val="en-US"/>
        </w:rPr>
      </w:pPr>
    </w:p>
    <w:p w:rsidR="00500818" w:rsidRPr="004D6CAB" w:rsidRDefault="00500818" w:rsidP="00500818">
      <w:pPr>
        <w:spacing w:after="0"/>
        <w:jc w:val="both"/>
        <w:rPr>
          <w:rFonts w:ascii="Times New Roman" w:hAnsi="Times New Roman" w:cs="Times New Roman"/>
        </w:rPr>
      </w:pPr>
    </w:p>
    <w:p w:rsidR="00500818" w:rsidRPr="004D6CAB" w:rsidRDefault="00500818" w:rsidP="00500818">
      <w:pPr>
        <w:spacing w:after="0"/>
        <w:jc w:val="both"/>
        <w:rPr>
          <w:rFonts w:ascii="Times New Roman" w:hAnsi="Times New Roman" w:cs="Times New Roman"/>
        </w:rPr>
      </w:pPr>
    </w:p>
    <w:p w:rsidR="00500818" w:rsidRPr="004D6CAB" w:rsidRDefault="00500818" w:rsidP="008936BD">
      <w:pPr>
        <w:spacing w:after="0"/>
        <w:jc w:val="both"/>
        <w:rPr>
          <w:rFonts w:ascii="Times New Roman" w:hAnsi="Times New Roman" w:cs="Times New Roman"/>
          <w:b/>
          <w:i/>
        </w:rPr>
      </w:pPr>
    </w:p>
    <w:sectPr w:rsidR="00500818" w:rsidRPr="004D6CAB" w:rsidSect="004E256B">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3C" w:rsidRDefault="0033063C" w:rsidP="0072572A">
      <w:pPr>
        <w:spacing w:after="0" w:line="240" w:lineRule="auto"/>
      </w:pPr>
      <w:r>
        <w:separator/>
      </w:r>
    </w:p>
  </w:endnote>
  <w:endnote w:type="continuationSeparator" w:id="0">
    <w:p w:rsidR="0033063C" w:rsidRDefault="0033063C" w:rsidP="00725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34552"/>
      <w:docPartObj>
        <w:docPartGallery w:val="Page Numbers (Bottom of Page)"/>
        <w:docPartUnique/>
      </w:docPartObj>
    </w:sdtPr>
    <w:sdtEndPr>
      <w:rPr>
        <w:rFonts w:ascii="Times New Roman" w:hAnsi="Times New Roman" w:cs="Times New Roman"/>
      </w:rPr>
    </w:sdtEndPr>
    <w:sdtContent>
      <w:p w:rsidR="009D00FC" w:rsidRPr="00885660" w:rsidRDefault="009D00FC">
        <w:pPr>
          <w:pStyle w:val="Pieddepage"/>
          <w:jc w:val="center"/>
          <w:rPr>
            <w:rFonts w:ascii="Times New Roman" w:hAnsi="Times New Roman" w:cs="Times New Roman"/>
          </w:rPr>
        </w:pPr>
        <w:r w:rsidRPr="00885660">
          <w:rPr>
            <w:rFonts w:ascii="Times New Roman" w:hAnsi="Times New Roman" w:cs="Times New Roman"/>
          </w:rPr>
          <w:fldChar w:fldCharType="begin"/>
        </w:r>
        <w:r w:rsidRPr="00885660">
          <w:rPr>
            <w:rFonts w:ascii="Times New Roman" w:hAnsi="Times New Roman" w:cs="Times New Roman"/>
          </w:rPr>
          <w:instrText xml:space="preserve"> PAGE   \* MERGEFORMAT </w:instrText>
        </w:r>
        <w:r w:rsidRPr="00885660">
          <w:rPr>
            <w:rFonts w:ascii="Times New Roman" w:hAnsi="Times New Roman" w:cs="Times New Roman"/>
          </w:rPr>
          <w:fldChar w:fldCharType="separate"/>
        </w:r>
        <w:r w:rsidR="009A405E">
          <w:rPr>
            <w:rFonts w:ascii="Times New Roman" w:hAnsi="Times New Roman" w:cs="Times New Roman"/>
            <w:noProof/>
          </w:rPr>
          <w:t>15</w:t>
        </w:r>
        <w:r w:rsidRPr="00885660">
          <w:rPr>
            <w:rFonts w:ascii="Times New Roman" w:hAnsi="Times New Roman" w:cs="Times New Roman"/>
          </w:rPr>
          <w:fldChar w:fldCharType="end"/>
        </w:r>
      </w:p>
    </w:sdtContent>
  </w:sdt>
  <w:p w:rsidR="009D00FC" w:rsidRDefault="009D00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3C" w:rsidRDefault="0033063C" w:rsidP="0072572A">
      <w:pPr>
        <w:spacing w:after="0" w:line="240" w:lineRule="auto"/>
      </w:pPr>
      <w:r>
        <w:separator/>
      </w:r>
    </w:p>
  </w:footnote>
  <w:footnote w:type="continuationSeparator" w:id="0">
    <w:p w:rsidR="0033063C" w:rsidRDefault="0033063C" w:rsidP="0072572A">
      <w:pPr>
        <w:spacing w:after="0" w:line="240" w:lineRule="auto"/>
      </w:pPr>
      <w:r>
        <w:continuationSeparator/>
      </w:r>
    </w:p>
  </w:footnote>
  <w:footnote w:id="1">
    <w:p w:rsidR="009D00FC" w:rsidRPr="002A2701" w:rsidRDefault="009D00FC" w:rsidP="00422B93">
      <w:pPr>
        <w:pStyle w:val="Retraitcorpsdetexte3"/>
        <w:widowControl w:val="0"/>
        <w:tabs>
          <w:tab w:val="left" w:pos="284"/>
          <w:tab w:val="left" w:pos="2835"/>
          <w:tab w:val="left" w:pos="2880"/>
        </w:tabs>
        <w:spacing w:after="0"/>
        <w:ind w:left="360" w:hanging="360"/>
        <w:jc w:val="left"/>
        <w:rPr>
          <w:sz w:val="20"/>
          <w:szCs w:val="20"/>
          <w:lang w:val="fr-FR"/>
        </w:rPr>
      </w:pPr>
      <w:r w:rsidRPr="00422B93">
        <w:rPr>
          <w:rStyle w:val="Appelnotedebasdep"/>
          <w:sz w:val="20"/>
          <w:szCs w:val="20"/>
        </w:rPr>
        <w:footnoteRef/>
      </w:r>
      <w:r w:rsidRPr="002A2701">
        <w:rPr>
          <w:lang w:val="fr-FR"/>
        </w:rPr>
        <w:t xml:space="preserve"> </w:t>
      </w:r>
      <w:r>
        <w:rPr>
          <w:lang w:val="fr-FR"/>
        </w:rPr>
        <w:t xml:space="preserve"> </w:t>
      </w:r>
      <w:r w:rsidRPr="00ED522A">
        <w:rPr>
          <w:sz w:val="20"/>
          <w:szCs w:val="20"/>
          <w:lang w:val="fr-FR"/>
        </w:rPr>
        <w:t>Danubius University, Galati.</w:t>
      </w:r>
    </w:p>
  </w:footnote>
  <w:footnote w:id="2">
    <w:p w:rsidR="009D00FC" w:rsidRPr="00422B93" w:rsidRDefault="009D00FC">
      <w:pPr>
        <w:pStyle w:val="Notedebasdepage"/>
        <w:rPr>
          <w:lang w:val="fr-FR"/>
        </w:rPr>
      </w:pPr>
      <w:r>
        <w:rPr>
          <w:rStyle w:val="Appelnotedebasdep"/>
        </w:rPr>
        <w:footnoteRef/>
      </w:r>
      <w:r>
        <w:t xml:space="preserve"> </w:t>
      </w:r>
      <w:r w:rsidRPr="00422B93">
        <w:rPr>
          <w:rFonts w:cs="Times New Roman"/>
          <w:sz w:val="20"/>
          <w:szCs w:val="20"/>
          <w:lang w:val="fr-FR"/>
        </w:rPr>
        <w:t>Centre d’Economie de la Sorbonne P</w:t>
      </w:r>
      <w:r>
        <w:rPr>
          <w:rFonts w:cs="Times New Roman"/>
          <w:sz w:val="20"/>
          <w:szCs w:val="20"/>
          <w:lang w:val="fr-FR"/>
        </w:rPr>
        <w:t>aris.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E65A8FC2"/>
    <w:lvl w:ilvl="0">
      <w:start w:val="1"/>
      <w:numFmt w:val="decimal"/>
      <w:lvlText w:val="%1."/>
      <w:legacy w:legacy="1" w:legacySpace="0" w:legacyIndent="360"/>
      <w:lvlJc w:val="left"/>
      <w:pPr>
        <w:ind w:left="360" w:hanging="360"/>
      </w:pPr>
      <w:rPr>
        <w:rFonts w:ascii="Arial" w:hAnsi="Arial" w:cs="Arial" w:hint="default"/>
        <w:b/>
        <w:sz w:val="18"/>
        <w:szCs w:val="18"/>
      </w:rPr>
    </w:lvl>
  </w:abstractNum>
  <w:abstractNum w:abstractNumId="1">
    <w:nsid w:val="038249C9"/>
    <w:multiLevelType w:val="hybridMultilevel"/>
    <w:tmpl w:val="5FB4D6DA"/>
    <w:lvl w:ilvl="0" w:tplc="F17E1688">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E52BD"/>
    <w:multiLevelType w:val="hybridMultilevel"/>
    <w:tmpl w:val="9780AB62"/>
    <w:lvl w:ilvl="0" w:tplc="DF4AB0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93991"/>
    <w:multiLevelType w:val="hybridMultilevel"/>
    <w:tmpl w:val="6AB0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9665D"/>
    <w:multiLevelType w:val="hybridMultilevel"/>
    <w:tmpl w:val="C366AD54"/>
    <w:lvl w:ilvl="0" w:tplc="5350B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572A"/>
    <w:rsid w:val="000076BD"/>
    <w:rsid w:val="00020AFC"/>
    <w:rsid w:val="000224CE"/>
    <w:rsid w:val="0003243C"/>
    <w:rsid w:val="00035B90"/>
    <w:rsid w:val="00042FA0"/>
    <w:rsid w:val="000477E9"/>
    <w:rsid w:val="00047974"/>
    <w:rsid w:val="00050E8D"/>
    <w:rsid w:val="00064F08"/>
    <w:rsid w:val="00071675"/>
    <w:rsid w:val="00072DA1"/>
    <w:rsid w:val="00073E30"/>
    <w:rsid w:val="00075872"/>
    <w:rsid w:val="000B2B81"/>
    <w:rsid w:val="000C168C"/>
    <w:rsid w:val="000C1F4B"/>
    <w:rsid w:val="000C25C0"/>
    <w:rsid w:val="000C78D0"/>
    <w:rsid w:val="000C7FFA"/>
    <w:rsid w:val="000D586E"/>
    <w:rsid w:val="000D672A"/>
    <w:rsid w:val="000E7886"/>
    <w:rsid w:val="000F4E44"/>
    <w:rsid w:val="000F5F8E"/>
    <w:rsid w:val="00100A0A"/>
    <w:rsid w:val="00102658"/>
    <w:rsid w:val="001030BB"/>
    <w:rsid w:val="00103704"/>
    <w:rsid w:val="0010406D"/>
    <w:rsid w:val="00107CBF"/>
    <w:rsid w:val="001272DF"/>
    <w:rsid w:val="001313AC"/>
    <w:rsid w:val="00137B6C"/>
    <w:rsid w:val="00144877"/>
    <w:rsid w:val="001475B3"/>
    <w:rsid w:val="00157766"/>
    <w:rsid w:val="00157950"/>
    <w:rsid w:val="00163ED4"/>
    <w:rsid w:val="001664A4"/>
    <w:rsid w:val="00180113"/>
    <w:rsid w:val="001956E2"/>
    <w:rsid w:val="001A3E9B"/>
    <w:rsid w:val="001B005F"/>
    <w:rsid w:val="001B2503"/>
    <w:rsid w:val="001B4C08"/>
    <w:rsid w:val="001D2E9C"/>
    <w:rsid w:val="001D4ED0"/>
    <w:rsid w:val="001F05CD"/>
    <w:rsid w:val="001F1036"/>
    <w:rsid w:val="001F1352"/>
    <w:rsid w:val="0020701C"/>
    <w:rsid w:val="00207351"/>
    <w:rsid w:val="00207644"/>
    <w:rsid w:val="00212661"/>
    <w:rsid w:val="002229AF"/>
    <w:rsid w:val="002237D7"/>
    <w:rsid w:val="00226B3D"/>
    <w:rsid w:val="00235D87"/>
    <w:rsid w:val="00237038"/>
    <w:rsid w:val="00250C8D"/>
    <w:rsid w:val="0025321D"/>
    <w:rsid w:val="00255AC7"/>
    <w:rsid w:val="002606A1"/>
    <w:rsid w:val="002617AA"/>
    <w:rsid w:val="00264BC7"/>
    <w:rsid w:val="00283FEA"/>
    <w:rsid w:val="00285688"/>
    <w:rsid w:val="002862BA"/>
    <w:rsid w:val="00290779"/>
    <w:rsid w:val="002A215C"/>
    <w:rsid w:val="002A2701"/>
    <w:rsid w:val="002A6006"/>
    <w:rsid w:val="002B3EF5"/>
    <w:rsid w:val="002D6CB8"/>
    <w:rsid w:val="002F14B8"/>
    <w:rsid w:val="00306ABA"/>
    <w:rsid w:val="003151D3"/>
    <w:rsid w:val="00316D09"/>
    <w:rsid w:val="00320670"/>
    <w:rsid w:val="0032634A"/>
    <w:rsid w:val="0033063C"/>
    <w:rsid w:val="00330C98"/>
    <w:rsid w:val="00333E7E"/>
    <w:rsid w:val="0033609B"/>
    <w:rsid w:val="003547B8"/>
    <w:rsid w:val="003548EB"/>
    <w:rsid w:val="00356763"/>
    <w:rsid w:val="00364F84"/>
    <w:rsid w:val="00366715"/>
    <w:rsid w:val="00367726"/>
    <w:rsid w:val="00382672"/>
    <w:rsid w:val="003834DA"/>
    <w:rsid w:val="00391926"/>
    <w:rsid w:val="003C650A"/>
    <w:rsid w:val="003D25C1"/>
    <w:rsid w:val="003E1561"/>
    <w:rsid w:val="003E1C4D"/>
    <w:rsid w:val="003E756B"/>
    <w:rsid w:val="003F0A98"/>
    <w:rsid w:val="003F491C"/>
    <w:rsid w:val="003F57E9"/>
    <w:rsid w:val="0041000B"/>
    <w:rsid w:val="00411C5E"/>
    <w:rsid w:val="00415805"/>
    <w:rsid w:val="00422B93"/>
    <w:rsid w:val="00434E35"/>
    <w:rsid w:val="004350E2"/>
    <w:rsid w:val="00435172"/>
    <w:rsid w:val="004429DB"/>
    <w:rsid w:val="00452CFC"/>
    <w:rsid w:val="004552EB"/>
    <w:rsid w:val="00463B3B"/>
    <w:rsid w:val="00486DD8"/>
    <w:rsid w:val="00492568"/>
    <w:rsid w:val="004941BC"/>
    <w:rsid w:val="004A090A"/>
    <w:rsid w:val="004A3916"/>
    <w:rsid w:val="004A6BDF"/>
    <w:rsid w:val="004B1505"/>
    <w:rsid w:val="004C14AF"/>
    <w:rsid w:val="004C2FF3"/>
    <w:rsid w:val="004D162C"/>
    <w:rsid w:val="004D6CAB"/>
    <w:rsid w:val="004E256B"/>
    <w:rsid w:val="004E4D90"/>
    <w:rsid w:val="004F0881"/>
    <w:rsid w:val="004F4575"/>
    <w:rsid w:val="00500818"/>
    <w:rsid w:val="005038DF"/>
    <w:rsid w:val="00527B22"/>
    <w:rsid w:val="0055111C"/>
    <w:rsid w:val="00551435"/>
    <w:rsid w:val="005673C3"/>
    <w:rsid w:val="00570E23"/>
    <w:rsid w:val="005730C9"/>
    <w:rsid w:val="005745DB"/>
    <w:rsid w:val="0057471C"/>
    <w:rsid w:val="00580987"/>
    <w:rsid w:val="00590451"/>
    <w:rsid w:val="00593E70"/>
    <w:rsid w:val="005A264D"/>
    <w:rsid w:val="005A6E3E"/>
    <w:rsid w:val="005B5D5A"/>
    <w:rsid w:val="005B644D"/>
    <w:rsid w:val="005D1E51"/>
    <w:rsid w:val="005D6EF7"/>
    <w:rsid w:val="005E1067"/>
    <w:rsid w:val="005F01F2"/>
    <w:rsid w:val="005F53BD"/>
    <w:rsid w:val="00607070"/>
    <w:rsid w:val="00610A58"/>
    <w:rsid w:val="00615DC4"/>
    <w:rsid w:val="00620E6F"/>
    <w:rsid w:val="00622350"/>
    <w:rsid w:val="00622AC5"/>
    <w:rsid w:val="00627C24"/>
    <w:rsid w:val="0063256C"/>
    <w:rsid w:val="006412AC"/>
    <w:rsid w:val="00653D07"/>
    <w:rsid w:val="00657D3D"/>
    <w:rsid w:val="0066634D"/>
    <w:rsid w:val="006671D3"/>
    <w:rsid w:val="006805C5"/>
    <w:rsid w:val="00694177"/>
    <w:rsid w:val="006A15CD"/>
    <w:rsid w:val="006A4081"/>
    <w:rsid w:val="006A5F2E"/>
    <w:rsid w:val="006A6346"/>
    <w:rsid w:val="006B324C"/>
    <w:rsid w:val="006D1B5D"/>
    <w:rsid w:val="006D64EF"/>
    <w:rsid w:val="006D74D9"/>
    <w:rsid w:val="0070222A"/>
    <w:rsid w:val="007122F1"/>
    <w:rsid w:val="007138AD"/>
    <w:rsid w:val="00713A7D"/>
    <w:rsid w:val="007175CF"/>
    <w:rsid w:val="0072572A"/>
    <w:rsid w:val="0072624C"/>
    <w:rsid w:val="00727E4E"/>
    <w:rsid w:val="007322D6"/>
    <w:rsid w:val="007448C6"/>
    <w:rsid w:val="00750331"/>
    <w:rsid w:val="007536D4"/>
    <w:rsid w:val="00756246"/>
    <w:rsid w:val="0077182C"/>
    <w:rsid w:val="0077408D"/>
    <w:rsid w:val="0078402E"/>
    <w:rsid w:val="00786244"/>
    <w:rsid w:val="00790EAC"/>
    <w:rsid w:val="007B7BF9"/>
    <w:rsid w:val="007C0588"/>
    <w:rsid w:val="007C27C5"/>
    <w:rsid w:val="007C6B20"/>
    <w:rsid w:val="007C75E1"/>
    <w:rsid w:val="007D58B9"/>
    <w:rsid w:val="007D6951"/>
    <w:rsid w:val="007E71F3"/>
    <w:rsid w:val="007F2DC4"/>
    <w:rsid w:val="0080241A"/>
    <w:rsid w:val="008117A0"/>
    <w:rsid w:val="00813441"/>
    <w:rsid w:val="00815320"/>
    <w:rsid w:val="00824149"/>
    <w:rsid w:val="008328D6"/>
    <w:rsid w:val="0084236B"/>
    <w:rsid w:val="00844984"/>
    <w:rsid w:val="008474B8"/>
    <w:rsid w:val="00857958"/>
    <w:rsid w:val="00857C09"/>
    <w:rsid w:val="00860D46"/>
    <w:rsid w:val="0087077D"/>
    <w:rsid w:val="00874CD7"/>
    <w:rsid w:val="00885660"/>
    <w:rsid w:val="00892E0E"/>
    <w:rsid w:val="00892F31"/>
    <w:rsid w:val="008936BD"/>
    <w:rsid w:val="008B46DB"/>
    <w:rsid w:val="008C26B2"/>
    <w:rsid w:val="008C3407"/>
    <w:rsid w:val="008D10DE"/>
    <w:rsid w:val="008E58EC"/>
    <w:rsid w:val="008E6C0F"/>
    <w:rsid w:val="008F6DD2"/>
    <w:rsid w:val="0090282C"/>
    <w:rsid w:val="00905E67"/>
    <w:rsid w:val="009068CA"/>
    <w:rsid w:val="00911E9D"/>
    <w:rsid w:val="00914F68"/>
    <w:rsid w:val="00915AB6"/>
    <w:rsid w:val="00922A9A"/>
    <w:rsid w:val="00944293"/>
    <w:rsid w:val="0094460F"/>
    <w:rsid w:val="00954D3B"/>
    <w:rsid w:val="00961725"/>
    <w:rsid w:val="009679B7"/>
    <w:rsid w:val="00977505"/>
    <w:rsid w:val="00977D86"/>
    <w:rsid w:val="009907C8"/>
    <w:rsid w:val="00993D96"/>
    <w:rsid w:val="009952C8"/>
    <w:rsid w:val="009A06A4"/>
    <w:rsid w:val="009A405E"/>
    <w:rsid w:val="009A51E7"/>
    <w:rsid w:val="009B0496"/>
    <w:rsid w:val="009B270C"/>
    <w:rsid w:val="009C74B8"/>
    <w:rsid w:val="009D00FC"/>
    <w:rsid w:val="009D0AE1"/>
    <w:rsid w:val="009D2AA8"/>
    <w:rsid w:val="009D624F"/>
    <w:rsid w:val="009E140E"/>
    <w:rsid w:val="00A02C45"/>
    <w:rsid w:val="00A17DAF"/>
    <w:rsid w:val="00A272FB"/>
    <w:rsid w:val="00A43923"/>
    <w:rsid w:val="00A670F4"/>
    <w:rsid w:val="00A70CF1"/>
    <w:rsid w:val="00A844E5"/>
    <w:rsid w:val="00A91533"/>
    <w:rsid w:val="00A95128"/>
    <w:rsid w:val="00AB4265"/>
    <w:rsid w:val="00AC3CBD"/>
    <w:rsid w:val="00AC6844"/>
    <w:rsid w:val="00AD04A6"/>
    <w:rsid w:val="00AD41DC"/>
    <w:rsid w:val="00AD5502"/>
    <w:rsid w:val="00AE0E0D"/>
    <w:rsid w:val="00AE6E62"/>
    <w:rsid w:val="00AF59F4"/>
    <w:rsid w:val="00B00156"/>
    <w:rsid w:val="00B036AA"/>
    <w:rsid w:val="00B03A3C"/>
    <w:rsid w:val="00B11C0C"/>
    <w:rsid w:val="00B170EA"/>
    <w:rsid w:val="00B2524A"/>
    <w:rsid w:val="00B25545"/>
    <w:rsid w:val="00B27B2D"/>
    <w:rsid w:val="00B3625D"/>
    <w:rsid w:val="00B408D6"/>
    <w:rsid w:val="00B54B08"/>
    <w:rsid w:val="00B567DE"/>
    <w:rsid w:val="00B57154"/>
    <w:rsid w:val="00B6675A"/>
    <w:rsid w:val="00B7006A"/>
    <w:rsid w:val="00B82298"/>
    <w:rsid w:val="00B927C0"/>
    <w:rsid w:val="00B971A6"/>
    <w:rsid w:val="00BA3125"/>
    <w:rsid w:val="00BA661B"/>
    <w:rsid w:val="00BA70AE"/>
    <w:rsid w:val="00BB2F30"/>
    <w:rsid w:val="00BC0055"/>
    <w:rsid w:val="00BC3F4B"/>
    <w:rsid w:val="00BD6FCA"/>
    <w:rsid w:val="00BF0CA7"/>
    <w:rsid w:val="00BF1EE1"/>
    <w:rsid w:val="00BF209F"/>
    <w:rsid w:val="00BF7853"/>
    <w:rsid w:val="00C00C98"/>
    <w:rsid w:val="00C06056"/>
    <w:rsid w:val="00C10856"/>
    <w:rsid w:val="00C123D2"/>
    <w:rsid w:val="00C14DE5"/>
    <w:rsid w:val="00C15B64"/>
    <w:rsid w:val="00C16754"/>
    <w:rsid w:val="00C16E83"/>
    <w:rsid w:val="00C17586"/>
    <w:rsid w:val="00C22931"/>
    <w:rsid w:val="00C363B7"/>
    <w:rsid w:val="00C53E03"/>
    <w:rsid w:val="00C64BA5"/>
    <w:rsid w:val="00C66470"/>
    <w:rsid w:val="00C72AB2"/>
    <w:rsid w:val="00C860B3"/>
    <w:rsid w:val="00C86A57"/>
    <w:rsid w:val="00CA2040"/>
    <w:rsid w:val="00CA73DC"/>
    <w:rsid w:val="00CA74F4"/>
    <w:rsid w:val="00CB21E7"/>
    <w:rsid w:val="00CB2291"/>
    <w:rsid w:val="00CB40F3"/>
    <w:rsid w:val="00CB749D"/>
    <w:rsid w:val="00CC4CFA"/>
    <w:rsid w:val="00CD4D8B"/>
    <w:rsid w:val="00CE5E08"/>
    <w:rsid w:val="00CE7E1E"/>
    <w:rsid w:val="00CF304A"/>
    <w:rsid w:val="00CF4E27"/>
    <w:rsid w:val="00CF7ED3"/>
    <w:rsid w:val="00D036B9"/>
    <w:rsid w:val="00D04F47"/>
    <w:rsid w:val="00D061A3"/>
    <w:rsid w:val="00D14FF5"/>
    <w:rsid w:val="00D2021B"/>
    <w:rsid w:val="00D25BD0"/>
    <w:rsid w:val="00D2600E"/>
    <w:rsid w:val="00D32D54"/>
    <w:rsid w:val="00D34757"/>
    <w:rsid w:val="00D414E2"/>
    <w:rsid w:val="00D4428B"/>
    <w:rsid w:val="00D469BC"/>
    <w:rsid w:val="00D514A8"/>
    <w:rsid w:val="00D66A35"/>
    <w:rsid w:val="00D757DB"/>
    <w:rsid w:val="00D7773F"/>
    <w:rsid w:val="00D874A3"/>
    <w:rsid w:val="00DB1D94"/>
    <w:rsid w:val="00DB750C"/>
    <w:rsid w:val="00DC2D96"/>
    <w:rsid w:val="00DC586F"/>
    <w:rsid w:val="00DD0E17"/>
    <w:rsid w:val="00DD672E"/>
    <w:rsid w:val="00DD736C"/>
    <w:rsid w:val="00DF4B83"/>
    <w:rsid w:val="00DF4F80"/>
    <w:rsid w:val="00DF5CA6"/>
    <w:rsid w:val="00E01A80"/>
    <w:rsid w:val="00E027BF"/>
    <w:rsid w:val="00E03A34"/>
    <w:rsid w:val="00E03D6E"/>
    <w:rsid w:val="00E12018"/>
    <w:rsid w:val="00E157AF"/>
    <w:rsid w:val="00E162BE"/>
    <w:rsid w:val="00E311FF"/>
    <w:rsid w:val="00E37CDF"/>
    <w:rsid w:val="00E45B9B"/>
    <w:rsid w:val="00E51525"/>
    <w:rsid w:val="00E61DAB"/>
    <w:rsid w:val="00E630CC"/>
    <w:rsid w:val="00E761D2"/>
    <w:rsid w:val="00E83AEE"/>
    <w:rsid w:val="00E935A3"/>
    <w:rsid w:val="00E95F7B"/>
    <w:rsid w:val="00E974BA"/>
    <w:rsid w:val="00EB09CB"/>
    <w:rsid w:val="00EB32AF"/>
    <w:rsid w:val="00EB5AEA"/>
    <w:rsid w:val="00EC0FB4"/>
    <w:rsid w:val="00EC3FE5"/>
    <w:rsid w:val="00EC4EA7"/>
    <w:rsid w:val="00ED0340"/>
    <w:rsid w:val="00ED522A"/>
    <w:rsid w:val="00ED5CB7"/>
    <w:rsid w:val="00EE60CC"/>
    <w:rsid w:val="00EF6AAB"/>
    <w:rsid w:val="00F04A0B"/>
    <w:rsid w:val="00F05A08"/>
    <w:rsid w:val="00F31416"/>
    <w:rsid w:val="00F34ABA"/>
    <w:rsid w:val="00F6131D"/>
    <w:rsid w:val="00F66E4B"/>
    <w:rsid w:val="00F66E8B"/>
    <w:rsid w:val="00F674E7"/>
    <w:rsid w:val="00F72B0D"/>
    <w:rsid w:val="00F72F97"/>
    <w:rsid w:val="00F82DCF"/>
    <w:rsid w:val="00F84F11"/>
    <w:rsid w:val="00F856F3"/>
    <w:rsid w:val="00F857EB"/>
    <w:rsid w:val="00F86ADC"/>
    <w:rsid w:val="00F95901"/>
    <w:rsid w:val="00F978BF"/>
    <w:rsid w:val="00FA4707"/>
    <w:rsid w:val="00FA5B3B"/>
    <w:rsid w:val="00FB2503"/>
    <w:rsid w:val="00FB26EA"/>
    <w:rsid w:val="00FD025A"/>
    <w:rsid w:val="00FD2450"/>
    <w:rsid w:val="00FE0B51"/>
    <w:rsid w:val="00FE6A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6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572A"/>
    <w:pPr>
      <w:ind w:left="720"/>
      <w:contextualSpacing/>
    </w:pPr>
  </w:style>
  <w:style w:type="paragraph" w:styleId="Notedebasdepage">
    <w:name w:val="footnote text"/>
    <w:aliases w:val="Footnote Text Char Char,Footnote"/>
    <w:basedOn w:val="Normal"/>
    <w:link w:val="NotedebasdepageCar"/>
    <w:semiHidden/>
    <w:rsid w:val="0072572A"/>
    <w:pPr>
      <w:tabs>
        <w:tab w:val="left" w:pos="284"/>
      </w:tabs>
      <w:spacing w:after="0" w:line="240" w:lineRule="auto"/>
      <w:ind w:left="284" w:hanging="284"/>
      <w:jc w:val="both"/>
    </w:pPr>
    <w:rPr>
      <w:rFonts w:ascii="Times New Roman" w:eastAsia="Times New Roman" w:hAnsi="Times New Roman" w:cs="Arial"/>
      <w:bCs/>
      <w:lang w:val="de-DE" w:eastAsia="de-DE"/>
    </w:rPr>
  </w:style>
  <w:style w:type="character" w:customStyle="1" w:styleId="NotedebasdepageCar">
    <w:name w:val="Note de bas de page Car"/>
    <w:aliases w:val="Footnote Text Char Char Car,Footnote Car"/>
    <w:basedOn w:val="Policepardfaut"/>
    <w:link w:val="Notedebasdepage"/>
    <w:semiHidden/>
    <w:rsid w:val="0072572A"/>
    <w:rPr>
      <w:rFonts w:ascii="Times New Roman" w:eastAsia="Times New Roman" w:hAnsi="Times New Roman" w:cs="Arial"/>
      <w:b w:val="0"/>
      <w:bCs/>
      <w:i w:val="0"/>
      <w:lang w:val="de-DE" w:eastAsia="de-DE"/>
    </w:rPr>
  </w:style>
  <w:style w:type="character" w:styleId="Appelnotedebasdep">
    <w:name w:val="footnote reference"/>
    <w:aliases w:val=" BVI fnr,BVI fnr,Footnote Reference Superscript"/>
    <w:basedOn w:val="Policepardfaut"/>
    <w:semiHidden/>
    <w:rsid w:val="0072572A"/>
    <w:rPr>
      <w:vertAlign w:val="superscript"/>
    </w:rPr>
  </w:style>
  <w:style w:type="character" w:styleId="Lienhypertexte">
    <w:name w:val="Hyperlink"/>
    <w:basedOn w:val="Policepardfaut"/>
    <w:uiPriority w:val="99"/>
    <w:rsid w:val="0072572A"/>
    <w:rPr>
      <w:color w:val="0000FF"/>
      <w:u w:val="single"/>
    </w:rPr>
  </w:style>
  <w:style w:type="paragraph" w:styleId="Textedebulles">
    <w:name w:val="Balloon Text"/>
    <w:basedOn w:val="Normal"/>
    <w:link w:val="TextedebullesCar"/>
    <w:uiPriority w:val="99"/>
    <w:semiHidden/>
    <w:unhideWhenUsed/>
    <w:rsid w:val="007257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72A"/>
    <w:rPr>
      <w:rFonts w:ascii="Tahoma" w:hAnsi="Tahoma" w:cs="Tahoma"/>
      <w:sz w:val="16"/>
      <w:szCs w:val="16"/>
      <w:lang w:val="en-GB"/>
    </w:rPr>
  </w:style>
  <w:style w:type="paragraph" w:styleId="Retraitcorpsdetexte3">
    <w:name w:val="Body Text Indent 3"/>
    <w:basedOn w:val="Normal"/>
    <w:link w:val="Retraitcorpsdetexte3Car"/>
    <w:rsid w:val="0057471C"/>
    <w:pPr>
      <w:spacing w:after="120" w:line="240" w:lineRule="auto"/>
      <w:ind w:left="283"/>
      <w:jc w:val="both"/>
    </w:pPr>
    <w:rPr>
      <w:rFonts w:ascii="Times New Roman" w:eastAsia="Times New Roman" w:hAnsi="Times New Roman" w:cs="Times New Roman"/>
      <w:sz w:val="16"/>
      <w:szCs w:val="16"/>
      <w:lang w:eastAsia="pl-PL"/>
    </w:rPr>
  </w:style>
  <w:style w:type="character" w:customStyle="1" w:styleId="Retraitcorpsdetexte3Car">
    <w:name w:val="Retrait corps de texte 3 Car"/>
    <w:basedOn w:val="Policepardfaut"/>
    <w:link w:val="Retraitcorpsdetexte3"/>
    <w:rsid w:val="0057471C"/>
    <w:rPr>
      <w:rFonts w:ascii="Times New Roman" w:eastAsia="Times New Roman" w:hAnsi="Times New Roman" w:cs="Times New Roman"/>
      <w:sz w:val="16"/>
      <w:szCs w:val="16"/>
      <w:lang w:val="en-GB" w:eastAsia="pl-PL"/>
    </w:rPr>
  </w:style>
  <w:style w:type="paragraph" w:customStyle="1" w:styleId="Flietext">
    <w:name w:val="Fließtext"/>
    <w:basedOn w:val="Normal"/>
    <w:link w:val="FlietextChar"/>
    <w:rsid w:val="002F14B8"/>
    <w:pPr>
      <w:spacing w:before="120" w:after="0" w:line="240" w:lineRule="auto"/>
      <w:jc w:val="both"/>
    </w:pPr>
    <w:rPr>
      <w:rFonts w:ascii="Times New Roman" w:eastAsia="Times New Roman" w:hAnsi="Times New Roman" w:cs="Arial"/>
      <w:bCs/>
      <w:lang w:eastAsia="de-DE"/>
    </w:rPr>
  </w:style>
  <w:style w:type="character" w:customStyle="1" w:styleId="FlietextChar">
    <w:name w:val="Fließtext Char"/>
    <w:basedOn w:val="Policepardfaut"/>
    <w:link w:val="Flietext"/>
    <w:rsid w:val="005F53BD"/>
    <w:rPr>
      <w:rFonts w:ascii="Times New Roman" w:eastAsia="Times New Roman" w:hAnsi="Times New Roman" w:cs="Arial"/>
      <w:bCs/>
      <w:lang w:val="en-GB" w:eastAsia="de-DE"/>
    </w:rPr>
  </w:style>
  <w:style w:type="paragraph" w:customStyle="1" w:styleId="References1">
    <w:name w:val="References_1"/>
    <w:basedOn w:val="Normal"/>
    <w:rsid w:val="00500818"/>
    <w:pPr>
      <w:spacing w:after="120" w:line="240" w:lineRule="auto"/>
      <w:ind w:left="539" w:hanging="539"/>
    </w:pPr>
    <w:rPr>
      <w:rFonts w:ascii="Times New Roman" w:eastAsia="Times New Roman" w:hAnsi="Times New Roman" w:cs="Arial"/>
      <w:bCs/>
      <w:lang w:val="de-DE" w:eastAsia="de-DE"/>
    </w:rPr>
  </w:style>
  <w:style w:type="paragraph" w:styleId="En-tte">
    <w:name w:val="header"/>
    <w:basedOn w:val="Normal"/>
    <w:link w:val="En-tteCar"/>
    <w:uiPriority w:val="99"/>
    <w:semiHidden/>
    <w:unhideWhenUsed/>
    <w:rsid w:val="008856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5660"/>
    <w:rPr>
      <w:lang w:val="en-GB"/>
    </w:rPr>
  </w:style>
  <w:style w:type="paragraph" w:styleId="Pieddepage">
    <w:name w:val="footer"/>
    <w:basedOn w:val="Normal"/>
    <w:link w:val="PieddepageCar"/>
    <w:uiPriority w:val="99"/>
    <w:unhideWhenUsed/>
    <w:rsid w:val="00885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5660"/>
    <w:rPr>
      <w:lang w:val="en-GB"/>
    </w:rPr>
  </w:style>
</w:styles>
</file>

<file path=word/webSettings.xml><?xml version="1.0" encoding="utf-8"?>
<w:webSettings xmlns:r="http://schemas.openxmlformats.org/officeDocument/2006/relationships" xmlns:w="http://schemas.openxmlformats.org/wordprocessingml/2006/main">
  <w:divs>
    <w:div w:id="114643818">
      <w:bodyDiv w:val="1"/>
      <w:marLeft w:val="0"/>
      <w:marRight w:val="0"/>
      <w:marTop w:val="0"/>
      <w:marBottom w:val="0"/>
      <w:divBdr>
        <w:top w:val="none" w:sz="0" w:space="0" w:color="auto"/>
        <w:left w:val="none" w:sz="0" w:space="0" w:color="auto"/>
        <w:bottom w:val="none" w:sz="0" w:space="0" w:color="auto"/>
        <w:right w:val="none" w:sz="0" w:space="0" w:color="auto"/>
      </w:divBdr>
    </w:div>
    <w:div w:id="151140192">
      <w:bodyDiv w:val="1"/>
      <w:marLeft w:val="0"/>
      <w:marRight w:val="0"/>
      <w:marTop w:val="0"/>
      <w:marBottom w:val="0"/>
      <w:divBdr>
        <w:top w:val="none" w:sz="0" w:space="0" w:color="auto"/>
        <w:left w:val="none" w:sz="0" w:space="0" w:color="auto"/>
        <w:bottom w:val="none" w:sz="0" w:space="0" w:color="auto"/>
        <w:right w:val="none" w:sz="0" w:space="0" w:color="auto"/>
      </w:divBdr>
    </w:div>
    <w:div w:id="335885796">
      <w:bodyDiv w:val="1"/>
      <w:marLeft w:val="0"/>
      <w:marRight w:val="0"/>
      <w:marTop w:val="0"/>
      <w:marBottom w:val="0"/>
      <w:divBdr>
        <w:top w:val="none" w:sz="0" w:space="0" w:color="auto"/>
        <w:left w:val="none" w:sz="0" w:space="0" w:color="auto"/>
        <w:bottom w:val="none" w:sz="0" w:space="0" w:color="auto"/>
        <w:right w:val="none" w:sz="0" w:space="0" w:color="auto"/>
      </w:divBdr>
    </w:div>
    <w:div w:id="382481328">
      <w:bodyDiv w:val="1"/>
      <w:marLeft w:val="0"/>
      <w:marRight w:val="0"/>
      <w:marTop w:val="0"/>
      <w:marBottom w:val="0"/>
      <w:divBdr>
        <w:top w:val="none" w:sz="0" w:space="0" w:color="auto"/>
        <w:left w:val="none" w:sz="0" w:space="0" w:color="auto"/>
        <w:bottom w:val="none" w:sz="0" w:space="0" w:color="auto"/>
        <w:right w:val="none" w:sz="0" w:space="0" w:color="auto"/>
      </w:divBdr>
    </w:div>
    <w:div w:id="386879212">
      <w:bodyDiv w:val="1"/>
      <w:marLeft w:val="0"/>
      <w:marRight w:val="0"/>
      <w:marTop w:val="0"/>
      <w:marBottom w:val="0"/>
      <w:divBdr>
        <w:top w:val="none" w:sz="0" w:space="0" w:color="auto"/>
        <w:left w:val="none" w:sz="0" w:space="0" w:color="auto"/>
        <w:bottom w:val="none" w:sz="0" w:space="0" w:color="auto"/>
        <w:right w:val="none" w:sz="0" w:space="0" w:color="auto"/>
      </w:divBdr>
    </w:div>
    <w:div w:id="410274339">
      <w:bodyDiv w:val="1"/>
      <w:marLeft w:val="0"/>
      <w:marRight w:val="0"/>
      <w:marTop w:val="0"/>
      <w:marBottom w:val="0"/>
      <w:divBdr>
        <w:top w:val="none" w:sz="0" w:space="0" w:color="auto"/>
        <w:left w:val="none" w:sz="0" w:space="0" w:color="auto"/>
        <w:bottom w:val="none" w:sz="0" w:space="0" w:color="auto"/>
        <w:right w:val="none" w:sz="0" w:space="0" w:color="auto"/>
      </w:divBdr>
    </w:div>
    <w:div w:id="423304172">
      <w:bodyDiv w:val="1"/>
      <w:marLeft w:val="0"/>
      <w:marRight w:val="0"/>
      <w:marTop w:val="0"/>
      <w:marBottom w:val="0"/>
      <w:divBdr>
        <w:top w:val="none" w:sz="0" w:space="0" w:color="auto"/>
        <w:left w:val="none" w:sz="0" w:space="0" w:color="auto"/>
        <w:bottom w:val="none" w:sz="0" w:space="0" w:color="auto"/>
        <w:right w:val="none" w:sz="0" w:space="0" w:color="auto"/>
      </w:divBdr>
    </w:div>
    <w:div w:id="812407292">
      <w:bodyDiv w:val="1"/>
      <w:marLeft w:val="0"/>
      <w:marRight w:val="0"/>
      <w:marTop w:val="0"/>
      <w:marBottom w:val="0"/>
      <w:divBdr>
        <w:top w:val="none" w:sz="0" w:space="0" w:color="auto"/>
        <w:left w:val="none" w:sz="0" w:space="0" w:color="auto"/>
        <w:bottom w:val="none" w:sz="0" w:space="0" w:color="auto"/>
        <w:right w:val="none" w:sz="0" w:space="0" w:color="auto"/>
      </w:divBdr>
    </w:div>
    <w:div w:id="1212231110">
      <w:bodyDiv w:val="1"/>
      <w:marLeft w:val="0"/>
      <w:marRight w:val="0"/>
      <w:marTop w:val="0"/>
      <w:marBottom w:val="0"/>
      <w:divBdr>
        <w:top w:val="none" w:sz="0" w:space="0" w:color="auto"/>
        <w:left w:val="none" w:sz="0" w:space="0" w:color="auto"/>
        <w:bottom w:val="none" w:sz="0" w:space="0" w:color="auto"/>
        <w:right w:val="none" w:sz="0" w:space="0" w:color="auto"/>
      </w:divBdr>
    </w:div>
    <w:div w:id="1285230072">
      <w:bodyDiv w:val="1"/>
      <w:marLeft w:val="0"/>
      <w:marRight w:val="0"/>
      <w:marTop w:val="0"/>
      <w:marBottom w:val="0"/>
      <w:divBdr>
        <w:top w:val="none" w:sz="0" w:space="0" w:color="auto"/>
        <w:left w:val="none" w:sz="0" w:space="0" w:color="auto"/>
        <w:bottom w:val="none" w:sz="0" w:space="0" w:color="auto"/>
        <w:right w:val="none" w:sz="0" w:space="0" w:color="auto"/>
      </w:divBdr>
    </w:div>
    <w:div w:id="21178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npas.org/portal/mediatype/html/language/ro/user/anon/page/default.psml/template/generic?url=%2Fcontent%2Fcnpas%2Fstatistics.html&amp;title=Indicatori+statistici+pilon+I" TargetMode="External"/><Relationship Id="rId18" Type="http://schemas.openxmlformats.org/officeDocument/2006/relationships/image" Target="media/image1.png"/><Relationship Id="rId26" Type="http://schemas.openxmlformats.org/officeDocument/2006/relationships/hyperlink" Target="http://www.apapr.ro/reforma.html" TargetMode="External"/><Relationship Id="rId3" Type="http://schemas.openxmlformats.org/officeDocument/2006/relationships/styles" Target="styles.xml"/><Relationship Id="rId21" Type="http://schemas.openxmlformats.org/officeDocument/2006/relationships/hyperlink" Target="http://www.zf.ro/opinii/juan-j-fernandez-ansola-alexander-klemm-care-sunt-efectele-economice-ale-imbatranirii-populatiei-in-romania-3081264/"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cnpas.org/portal/mediatype/html/language/ro/user/anon/page/default.psml/template/generic?url=%2Fcontent%2Fcnpas%2Fstatistics.html&amp;title=Indicatori+statistici+pilon+I" TargetMode="External"/><Relationship Id="rId25" Type="http://schemas.openxmlformats.org/officeDocument/2006/relationships/hyperlink" Target="http://www.socialprotection.eu/files_db/1282/asisp_ANR12_ROMANIA.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cnpas.org/portal/mediatype/html/language/ro/user/anon/page/default.psml/template/generic?url=%2Fcontent%2Fcnpas%2Fstatistics.html&amp;title=Indicatori+statistici+pilon+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as.org/portal/mediatype/html/language/ro/user/anon/page/default.psml/template/generic?url=%2Fcontent%2Fcnpas%2Fstatistics.html&amp;title=Indicatori+statistici+pilon+I" TargetMode="External"/><Relationship Id="rId24" Type="http://schemas.openxmlformats.org/officeDocument/2006/relationships/hyperlink" Target="http://www.viata-medicala.ro/Pension%C4%83rile-de-invaliditate-in-Romania.html*articleID_1304-dArt.html" TargetMode="External"/><Relationship Id="rId5" Type="http://schemas.openxmlformats.org/officeDocument/2006/relationships/webSettings" Target="webSettings.xml"/><Relationship Id="rId15" Type="http://schemas.openxmlformats.org/officeDocument/2006/relationships/hyperlink" Target="http://www.cnpas.org/portal/mediatype/html/language/ro/user/anon/page/default.psml/template/generic?url=%2Fcontent%2Fcnpas%2Fstatistics.html&amp;title=Indicatori+statistici+pilon+I" TargetMode="External"/><Relationship Id="rId23" Type="http://schemas.openxmlformats.org/officeDocument/2006/relationships/hyperlink" Target="http://www.bis.org/publ/work368.htm"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cnpas.org/portal/mediatype/html/language/ro/user/anon/page/default.psml/template/generic?url=%2Fcontent%2Fcnpas%2Fstatistics.html&amp;title=Indicatori+statistici+pilon+I" TargetMode="External"/><Relationship Id="rId4" Type="http://schemas.openxmlformats.org/officeDocument/2006/relationships/settings" Target="settings.xml"/><Relationship Id="rId9" Type="http://schemas.openxmlformats.org/officeDocument/2006/relationships/hyperlink" Target="http://www.cnpas.org/portal/mediatype/html/language/ro/user/anon/page/default.psml/template/generic?url=%2Fcontent%2Fcnpas%2Fstatistics.html&amp;title=Indicatori+statistici+pilon+I" TargetMode="External"/><Relationship Id="rId14" Type="http://schemas.openxmlformats.org/officeDocument/2006/relationships/chart" Target="charts/chart4.xml"/><Relationship Id="rId22" Type="http://schemas.openxmlformats.org/officeDocument/2006/relationships/hyperlink" Target="http://dx.doi.org/10.1787/5kgcfnm8rgmp-en" TargetMode="External"/><Relationship Id="rId27" Type="http://schemas.openxmlformats.org/officeDocument/2006/relationships/hyperlink" Target="https://www.imf.org/external/np/pp/eng/2011/122811.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z\PERSONAL\MY%20PAPERS\Pensions\Classeur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z\PERSONAL\MY%20PAPERS\Pensions\Classeu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z\PERSONAL\MY%20PAPERS\Pensions\Classeu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articole\Statistica%20pensi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z\PERSONAL\MY%20PAPERS\Pensions\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chart>
    <c:plotArea>
      <c:layout/>
      <c:barChart>
        <c:barDir val="col"/>
        <c:grouping val="clustered"/>
        <c:ser>
          <c:idx val="0"/>
          <c:order val="0"/>
          <c:tx>
            <c:strRef>
              <c:f>Feuil1!$A$11</c:f>
              <c:strCache>
                <c:ptCount val="1"/>
                <c:pt idx="0">
                  <c:v>%pension</c:v>
                </c:pt>
              </c:strCache>
            </c:strRef>
          </c:tx>
          <c:spPr>
            <a:solidFill>
              <a:schemeClr val="accent6">
                <a:lumMod val="75000"/>
              </a:schemeClr>
            </a:solidFill>
          </c:spPr>
          <c:cat>
            <c:multiLvlStrRef>
              <c:f>Feuil1!$B$9:$AM$10</c:f>
              <c:multiLvlStrCache>
                <c:ptCount val="38"/>
                <c:lvl>
                  <c:pt idx="0">
                    <c:v>M</c:v>
                  </c:pt>
                  <c:pt idx="1">
                    <c:v>A</c:v>
                  </c:pt>
                  <c:pt idx="2">
                    <c:v>M</c:v>
                  </c:pt>
                  <c:pt idx="3">
                    <c:v>J</c:v>
                  </c:pt>
                  <c:pt idx="4">
                    <c:v>J</c:v>
                  </c:pt>
                  <c:pt idx="5">
                    <c:v>A</c:v>
                  </c:pt>
                  <c:pt idx="6">
                    <c:v>S</c:v>
                  </c:pt>
                  <c:pt idx="7">
                    <c:v>O</c:v>
                  </c:pt>
                  <c:pt idx="8">
                    <c:v>N</c:v>
                  </c:pt>
                  <c:pt idx="9">
                    <c:v>D</c:v>
                  </c:pt>
                  <c:pt idx="10">
                    <c:v>J</c:v>
                  </c:pt>
                  <c:pt idx="11">
                    <c:v>F</c:v>
                  </c:pt>
                  <c:pt idx="12">
                    <c:v>M</c:v>
                  </c:pt>
                  <c:pt idx="13">
                    <c:v>A</c:v>
                  </c:pt>
                  <c:pt idx="14">
                    <c:v>M</c:v>
                  </c:pt>
                  <c:pt idx="15">
                    <c:v>J</c:v>
                  </c:pt>
                  <c:pt idx="16">
                    <c:v>J</c:v>
                  </c:pt>
                  <c:pt idx="17">
                    <c:v>A</c:v>
                  </c:pt>
                  <c:pt idx="18">
                    <c:v>S</c:v>
                  </c:pt>
                  <c:pt idx="19">
                    <c:v>O</c:v>
                  </c:pt>
                  <c:pt idx="20">
                    <c:v>N</c:v>
                  </c:pt>
                  <c:pt idx="21">
                    <c:v>D</c:v>
                  </c:pt>
                  <c:pt idx="22">
                    <c:v>J</c:v>
                  </c:pt>
                  <c:pt idx="23">
                    <c:v>F</c:v>
                  </c:pt>
                  <c:pt idx="24">
                    <c:v>M</c:v>
                  </c:pt>
                  <c:pt idx="25">
                    <c:v>A</c:v>
                  </c:pt>
                  <c:pt idx="26">
                    <c:v>M</c:v>
                  </c:pt>
                  <c:pt idx="27">
                    <c:v>J</c:v>
                  </c:pt>
                  <c:pt idx="28">
                    <c:v>J</c:v>
                  </c:pt>
                  <c:pt idx="29">
                    <c:v>A</c:v>
                  </c:pt>
                  <c:pt idx="30">
                    <c:v>S</c:v>
                  </c:pt>
                  <c:pt idx="31">
                    <c:v>O</c:v>
                  </c:pt>
                  <c:pt idx="32">
                    <c:v>N</c:v>
                  </c:pt>
                  <c:pt idx="33">
                    <c:v>D</c:v>
                  </c:pt>
                  <c:pt idx="34">
                    <c:v>J</c:v>
                  </c:pt>
                  <c:pt idx="35">
                    <c:v>F</c:v>
                  </c:pt>
                  <c:pt idx="36">
                    <c:v>M</c:v>
                  </c:pt>
                  <c:pt idx="37">
                    <c:v>A</c:v>
                  </c:pt>
                </c:lvl>
                <c:lvl>
                  <c:pt idx="0">
                    <c:v>2009</c:v>
                  </c:pt>
                  <c:pt idx="10">
                    <c:v>2010</c:v>
                  </c:pt>
                  <c:pt idx="22">
                    <c:v>2011</c:v>
                  </c:pt>
                  <c:pt idx="34">
                    <c:v>2012</c:v>
                  </c:pt>
                </c:lvl>
              </c:multiLvlStrCache>
            </c:multiLvlStrRef>
          </c:cat>
          <c:val>
            <c:numRef>
              <c:f>Feuil1!$B$11:$AM$11</c:f>
              <c:numCache>
                <c:formatCode>General</c:formatCode>
                <c:ptCount val="38"/>
                <c:pt idx="0">
                  <c:v>49.018825034574533</c:v>
                </c:pt>
                <c:pt idx="1">
                  <c:v>50.284090909090907</c:v>
                </c:pt>
                <c:pt idx="2">
                  <c:v>52.286135693215343</c:v>
                </c:pt>
                <c:pt idx="3">
                  <c:v>51.776649746192902</c:v>
                </c:pt>
                <c:pt idx="4">
                  <c:v>51.366906474820141</c:v>
                </c:pt>
                <c:pt idx="5">
                  <c:v>53.041543026706222</c:v>
                </c:pt>
                <c:pt idx="6">
                  <c:v>52.612214863870491</c:v>
                </c:pt>
                <c:pt idx="7">
                  <c:v>53.309090909090905</c:v>
                </c:pt>
                <c:pt idx="8">
                  <c:v>53.660322108345532</c:v>
                </c:pt>
                <c:pt idx="9">
                  <c:v>49.695328368314158</c:v>
                </c:pt>
                <c:pt idx="10">
                  <c:v>51.472650771388494</c:v>
                </c:pt>
                <c:pt idx="11">
                  <c:v>52.090715804394058</c:v>
                </c:pt>
                <c:pt idx="12">
                  <c:v>48.774022531477804</c:v>
                </c:pt>
                <c:pt idx="13">
                  <c:v>51.253481894150411</c:v>
                </c:pt>
                <c:pt idx="14">
                  <c:v>51.750700280112042</c:v>
                </c:pt>
                <c:pt idx="15">
                  <c:v>52.0393811533052</c:v>
                </c:pt>
                <c:pt idx="16">
                  <c:v>54.612546125461257</c:v>
                </c:pt>
                <c:pt idx="17">
                  <c:v>55.339805825242713</c:v>
                </c:pt>
                <c:pt idx="18">
                  <c:v>55.298507462686558</c:v>
                </c:pt>
                <c:pt idx="19">
                  <c:v>55.373134328358212</c:v>
                </c:pt>
                <c:pt idx="20">
                  <c:v>53.957879448075516</c:v>
                </c:pt>
                <c:pt idx="21">
                  <c:v>49.732620320855624</c:v>
                </c:pt>
                <c:pt idx="22">
                  <c:v>52.247191011235955</c:v>
                </c:pt>
                <c:pt idx="23">
                  <c:v>54.66760961810467</c:v>
                </c:pt>
                <c:pt idx="24">
                  <c:v>51.841929002009373</c:v>
                </c:pt>
                <c:pt idx="25">
                  <c:v>51.735647530040055</c:v>
                </c:pt>
                <c:pt idx="26">
                  <c:v>53.155006858710557</c:v>
                </c:pt>
                <c:pt idx="27">
                  <c:v>52.717391304347828</c:v>
                </c:pt>
                <c:pt idx="28">
                  <c:v>52.753229095853158</c:v>
                </c:pt>
                <c:pt idx="29">
                  <c:v>53.333333333333336</c:v>
                </c:pt>
                <c:pt idx="30">
                  <c:v>53.005464480874309</c:v>
                </c:pt>
                <c:pt idx="31">
                  <c:v>53.260123541523683</c:v>
                </c:pt>
                <c:pt idx="32">
                  <c:v>52.045606975184441</c:v>
                </c:pt>
                <c:pt idx="33">
                  <c:v>48.441396508728175</c:v>
                </c:pt>
                <c:pt idx="34">
                  <c:v>52.965235173824141</c:v>
                </c:pt>
                <c:pt idx="35">
                  <c:v>52.785326086956523</c:v>
                </c:pt>
                <c:pt idx="36">
                  <c:v>50.421257290991576</c:v>
                </c:pt>
                <c:pt idx="37">
                  <c:v>50.096587250482926</c:v>
                </c:pt>
              </c:numCache>
            </c:numRef>
          </c:val>
        </c:ser>
        <c:gapWidth val="30"/>
        <c:axId val="88052864"/>
        <c:axId val="89339008"/>
      </c:barChart>
      <c:lineChart>
        <c:grouping val="standard"/>
        <c:ser>
          <c:idx val="1"/>
          <c:order val="1"/>
          <c:tx>
            <c:strRef>
              <c:f>Feuil1!$A$12</c:f>
              <c:strCache>
                <c:ptCount val="1"/>
                <c:pt idx="0">
                  <c:v>average</c:v>
                </c:pt>
              </c:strCache>
            </c:strRef>
          </c:tx>
          <c:spPr>
            <a:ln>
              <a:solidFill>
                <a:schemeClr val="tx1"/>
              </a:solidFill>
            </a:ln>
          </c:spPr>
          <c:marker>
            <c:symbol val="none"/>
          </c:marker>
          <c:cat>
            <c:multiLvlStrRef>
              <c:f>Feuil1!$B$9:$AM$10</c:f>
              <c:multiLvlStrCache>
                <c:ptCount val="38"/>
                <c:lvl>
                  <c:pt idx="0">
                    <c:v>M</c:v>
                  </c:pt>
                  <c:pt idx="1">
                    <c:v>A</c:v>
                  </c:pt>
                  <c:pt idx="2">
                    <c:v>M</c:v>
                  </c:pt>
                  <c:pt idx="3">
                    <c:v>J</c:v>
                  </c:pt>
                  <c:pt idx="4">
                    <c:v>J</c:v>
                  </c:pt>
                  <c:pt idx="5">
                    <c:v>A</c:v>
                  </c:pt>
                  <c:pt idx="6">
                    <c:v>S</c:v>
                  </c:pt>
                  <c:pt idx="7">
                    <c:v>O</c:v>
                  </c:pt>
                  <c:pt idx="8">
                    <c:v>N</c:v>
                  </c:pt>
                  <c:pt idx="9">
                    <c:v>D</c:v>
                  </c:pt>
                  <c:pt idx="10">
                    <c:v>J</c:v>
                  </c:pt>
                  <c:pt idx="11">
                    <c:v>F</c:v>
                  </c:pt>
                  <c:pt idx="12">
                    <c:v>M</c:v>
                  </c:pt>
                  <c:pt idx="13">
                    <c:v>A</c:v>
                  </c:pt>
                  <c:pt idx="14">
                    <c:v>M</c:v>
                  </c:pt>
                  <c:pt idx="15">
                    <c:v>J</c:v>
                  </c:pt>
                  <c:pt idx="16">
                    <c:v>J</c:v>
                  </c:pt>
                  <c:pt idx="17">
                    <c:v>A</c:v>
                  </c:pt>
                  <c:pt idx="18">
                    <c:v>S</c:v>
                  </c:pt>
                  <c:pt idx="19">
                    <c:v>O</c:v>
                  </c:pt>
                  <c:pt idx="20">
                    <c:v>N</c:v>
                  </c:pt>
                  <c:pt idx="21">
                    <c:v>D</c:v>
                  </c:pt>
                  <c:pt idx="22">
                    <c:v>J</c:v>
                  </c:pt>
                  <c:pt idx="23">
                    <c:v>F</c:v>
                  </c:pt>
                  <c:pt idx="24">
                    <c:v>M</c:v>
                  </c:pt>
                  <c:pt idx="25">
                    <c:v>A</c:v>
                  </c:pt>
                  <c:pt idx="26">
                    <c:v>M</c:v>
                  </c:pt>
                  <c:pt idx="27">
                    <c:v>J</c:v>
                  </c:pt>
                  <c:pt idx="28">
                    <c:v>J</c:v>
                  </c:pt>
                  <c:pt idx="29">
                    <c:v>A</c:v>
                  </c:pt>
                  <c:pt idx="30">
                    <c:v>S</c:v>
                  </c:pt>
                  <c:pt idx="31">
                    <c:v>O</c:v>
                  </c:pt>
                  <c:pt idx="32">
                    <c:v>N</c:v>
                  </c:pt>
                  <c:pt idx="33">
                    <c:v>D</c:v>
                  </c:pt>
                  <c:pt idx="34">
                    <c:v>J</c:v>
                  </c:pt>
                  <c:pt idx="35">
                    <c:v>F</c:v>
                  </c:pt>
                  <c:pt idx="36">
                    <c:v>M</c:v>
                  </c:pt>
                  <c:pt idx="37">
                    <c:v>A</c:v>
                  </c:pt>
                </c:lvl>
                <c:lvl>
                  <c:pt idx="0">
                    <c:v>2009</c:v>
                  </c:pt>
                  <c:pt idx="10">
                    <c:v>2010</c:v>
                  </c:pt>
                  <c:pt idx="22">
                    <c:v>2011</c:v>
                  </c:pt>
                  <c:pt idx="34">
                    <c:v>2012</c:v>
                  </c:pt>
                </c:lvl>
              </c:multiLvlStrCache>
            </c:multiLvlStrRef>
          </c:cat>
          <c:val>
            <c:numRef>
              <c:f>Feuil1!$B$12:$AM$12</c:f>
              <c:numCache>
                <c:formatCode>General</c:formatCode>
                <c:ptCount val="38"/>
                <c:pt idx="0">
                  <c:v>52.165600000000012</c:v>
                </c:pt>
                <c:pt idx="1">
                  <c:v>52.165600000000012</c:v>
                </c:pt>
                <c:pt idx="2">
                  <c:v>52.165600000000012</c:v>
                </c:pt>
                <c:pt idx="3">
                  <c:v>52.165600000000012</c:v>
                </c:pt>
                <c:pt idx="4">
                  <c:v>52.165600000000012</c:v>
                </c:pt>
                <c:pt idx="5">
                  <c:v>52.165600000000012</c:v>
                </c:pt>
                <c:pt idx="6">
                  <c:v>52.165600000000012</c:v>
                </c:pt>
                <c:pt idx="7">
                  <c:v>52.165600000000012</c:v>
                </c:pt>
                <c:pt idx="8">
                  <c:v>52.165600000000012</c:v>
                </c:pt>
                <c:pt idx="9">
                  <c:v>52.165600000000012</c:v>
                </c:pt>
                <c:pt idx="10">
                  <c:v>52.165600000000012</c:v>
                </c:pt>
                <c:pt idx="11">
                  <c:v>52.165600000000012</c:v>
                </c:pt>
                <c:pt idx="12">
                  <c:v>52.165600000000012</c:v>
                </c:pt>
                <c:pt idx="13">
                  <c:v>52.165600000000012</c:v>
                </c:pt>
                <c:pt idx="14">
                  <c:v>52.165600000000012</c:v>
                </c:pt>
                <c:pt idx="15">
                  <c:v>52.165600000000012</c:v>
                </c:pt>
                <c:pt idx="16">
                  <c:v>52.165600000000012</c:v>
                </c:pt>
                <c:pt idx="17">
                  <c:v>52.165600000000012</c:v>
                </c:pt>
                <c:pt idx="18">
                  <c:v>52.165600000000012</c:v>
                </c:pt>
                <c:pt idx="19">
                  <c:v>52.165600000000012</c:v>
                </c:pt>
                <c:pt idx="20">
                  <c:v>52.165600000000012</c:v>
                </c:pt>
                <c:pt idx="21">
                  <c:v>52.165600000000012</c:v>
                </c:pt>
                <c:pt idx="22">
                  <c:v>52.165600000000012</c:v>
                </c:pt>
                <c:pt idx="23">
                  <c:v>52.165600000000012</c:v>
                </c:pt>
                <c:pt idx="24">
                  <c:v>52.165600000000012</c:v>
                </c:pt>
                <c:pt idx="25">
                  <c:v>52.165600000000012</c:v>
                </c:pt>
                <c:pt idx="26">
                  <c:v>52.165600000000012</c:v>
                </c:pt>
                <c:pt idx="27">
                  <c:v>52.165600000000012</c:v>
                </c:pt>
                <c:pt idx="28">
                  <c:v>52.165600000000012</c:v>
                </c:pt>
                <c:pt idx="29">
                  <c:v>52.165600000000012</c:v>
                </c:pt>
                <c:pt idx="30">
                  <c:v>52.165600000000012</c:v>
                </c:pt>
                <c:pt idx="31">
                  <c:v>52.165600000000012</c:v>
                </c:pt>
                <c:pt idx="32">
                  <c:v>52.165600000000012</c:v>
                </c:pt>
                <c:pt idx="33">
                  <c:v>52.165600000000012</c:v>
                </c:pt>
                <c:pt idx="34">
                  <c:v>52.165600000000012</c:v>
                </c:pt>
                <c:pt idx="35">
                  <c:v>52.165600000000012</c:v>
                </c:pt>
                <c:pt idx="36">
                  <c:v>52.165600000000012</c:v>
                </c:pt>
                <c:pt idx="37">
                  <c:v>52.165600000000012</c:v>
                </c:pt>
              </c:numCache>
            </c:numRef>
          </c:val>
        </c:ser>
        <c:marker val="1"/>
        <c:axId val="88052864"/>
        <c:axId val="89339008"/>
      </c:lineChart>
      <c:catAx>
        <c:axId val="88052864"/>
        <c:scaling>
          <c:orientation val="minMax"/>
        </c:scaling>
        <c:axPos val="b"/>
        <c:tickLblPos val="nextTo"/>
        <c:crossAx val="89339008"/>
        <c:crosses val="autoZero"/>
        <c:auto val="1"/>
        <c:lblAlgn val="ctr"/>
        <c:lblOffset val="100"/>
      </c:catAx>
      <c:valAx>
        <c:axId val="89339008"/>
        <c:scaling>
          <c:orientation val="minMax"/>
        </c:scaling>
        <c:axPos val="l"/>
        <c:majorGridlines/>
        <c:numFmt formatCode="General" sourceLinked="1"/>
        <c:tickLblPos val="nextTo"/>
        <c:crossAx val="880528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091533369649821E-2"/>
          <c:y val="1.4814814814814821E-2"/>
          <c:w val="0.91064207251871765"/>
          <c:h val="0.85604219762385092"/>
        </c:manualLayout>
      </c:layout>
      <c:lineChart>
        <c:grouping val="standard"/>
        <c:ser>
          <c:idx val="0"/>
          <c:order val="0"/>
          <c:tx>
            <c:strRef>
              <c:f>Feuil7!#REF!</c:f>
              <c:strCache>
                <c:ptCount val="1"/>
                <c:pt idx="0">
                  <c:v>#REF!</c:v>
                </c:pt>
              </c:strCache>
            </c:strRef>
          </c:tx>
          <c:marker>
            <c:symbol val="none"/>
          </c:marker>
          <c:cat>
            <c:strRef>
              <c:f>Feuil7!$A$3:$A$55</c:f>
              <c:strCache>
                <c:ptCount val="53"/>
                <c:pt idx="0">
                  <c:v>&lt;40</c:v>
                </c:pt>
                <c:pt idx="1">
                  <c:v>41  -  45</c:v>
                </c:pt>
                <c:pt idx="2">
                  <c:v>46  -  50</c:v>
                </c:pt>
                <c:pt idx="3">
                  <c:v>51  -  55</c:v>
                </c:pt>
                <c:pt idx="4">
                  <c:v>56  -  60</c:v>
                </c:pt>
                <c:pt idx="5">
                  <c:v>61  -  65</c:v>
                </c:pt>
                <c:pt idx="6">
                  <c:v>66  -  70</c:v>
                </c:pt>
                <c:pt idx="7">
                  <c:v>71  -  75</c:v>
                </c:pt>
                <c:pt idx="8">
                  <c:v>76  -  80</c:v>
                </c:pt>
                <c:pt idx="9">
                  <c:v>81 -   85</c:v>
                </c:pt>
                <c:pt idx="10">
                  <c:v>86  -   90</c:v>
                </c:pt>
                <c:pt idx="11">
                  <c:v>91  -   95</c:v>
                </c:pt>
                <c:pt idx="12">
                  <c:v>96  -  100</c:v>
                </c:pt>
                <c:pt idx="13">
                  <c:v>101  -  110</c:v>
                </c:pt>
                <c:pt idx="14">
                  <c:v>111   - 120</c:v>
                </c:pt>
                <c:pt idx="15">
                  <c:v>121  -  130</c:v>
                </c:pt>
                <c:pt idx="16">
                  <c:v>131  -  140</c:v>
                </c:pt>
                <c:pt idx="17">
                  <c:v>141  -  150</c:v>
                </c:pt>
                <c:pt idx="18">
                  <c:v>151  -  160</c:v>
                </c:pt>
                <c:pt idx="19">
                  <c:v>161  -  170</c:v>
                </c:pt>
                <c:pt idx="20">
                  <c:v>171  -  180</c:v>
                </c:pt>
                <c:pt idx="21">
                  <c:v>181  -  190</c:v>
                </c:pt>
                <c:pt idx="22">
                  <c:v>191  -  200</c:v>
                </c:pt>
                <c:pt idx="23">
                  <c:v>201  -  210</c:v>
                </c:pt>
                <c:pt idx="24">
                  <c:v>211  -  220</c:v>
                </c:pt>
                <c:pt idx="25">
                  <c:v>221 -  230</c:v>
                </c:pt>
                <c:pt idx="26">
                  <c:v>231  -  240</c:v>
                </c:pt>
                <c:pt idx="27">
                  <c:v>241  -  250</c:v>
                </c:pt>
                <c:pt idx="28">
                  <c:v>251  -  260</c:v>
                </c:pt>
                <c:pt idx="29">
                  <c:v>261  -  270</c:v>
                </c:pt>
                <c:pt idx="30">
                  <c:v>271  -  280</c:v>
                </c:pt>
                <c:pt idx="31">
                  <c:v>281 -   290</c:v>
                </c:pt>
                <c:pt idx="32">
                  <c:v>291  -  300</c:v>
                </c:pt>
                <c:pt idx="33">
                  <c:v>301  -  325</c:v>
                </c:pt>
                <c:pt idx="34">
                  <c:v>326 -  350</c:v>
                </c:pt>
                <c:pt idx="35">
                  <c:v>351  -  375</c:v>
                </c:pt>
                <c:pt idx="36">
                  <c:v>376 -  400</c:v>
                </c:pt>
                <c:pt idx="37">
                  <c:v>401 -   450</c:v>
                </c:pt>
                <c:pt idx="38">
                  <c:v>451 -   500</c:v>
                </c:pt>
                <c:pt idx="39">
                  <c:v>501  -  600</c:v>
                </c:pt>
                <c:pt idx="40">
                  <c:v>601  -  700</c:v>
                </c:pt>
                <c:pt idx="41">
                  <c:v>701  -  800</c:v>
                </c:pt>
                <c:pt idx="42">
                  <c:v>801  -  900</c:v>
                </c:pt>
                <c:pt idx="43">
                  <c:v>901  -  1000</c:v>
                </c:pt>
                <c:pt idx="44">
                  <c:v>1001 - 1500</c:v>
                </c:pt>
                <c:pt idx="45">
                  <c:v>1501 - 2000</c:v>
                </c:pt>
                <c:pt idx="46">
                  <c:v>2001 - 2500</c:v>
                </c:pt>
                <c:pt idx="47">
                  <c:v>2501 - 3000</c:v>
                </c:pt>
                <c:pt idx="48">
                  <c:v>3001 - 3500</c:v>
                </c:pt>
                <c:pt idx="49">
                  <c:v>3501 - 4000</c:v>
                </c:pt>
                <c:pt idx="50">
                  <c:v>4001 - 4500</c:v>
                </c:pt>
                <c:pt idx="51">
                  <c:v>4501 - 5000</c:v>
                </c:pt>
                <c:pt idx="52">
                  <c:v>&gt; 5000</c:v>
                </c:pt>
              </c:strCache>
            </c:strRef>
          </c:cat>
          <c:val>
            <c:numRef>
              <c:f>Feuil7!#REF!</c:f>
              <c:numCache>
                <c:formatCode>General</c:formatCode>
                <c:ptCount val="1"/>
                <c:pt idx="0">
                  <c:v>1</c:v>
                </c:pt>
              </c:numCache>
            </c:numRef>
          </c:val>
        </c:ser>
        <c:ser>
          <c:idx val="1"/>
          <c:order val="1"/>
          <c:tx>
            <c:strRef>
              <c:f>Feuil7!$B$2</c:f>
              <c:strCache>
                <c:ptCount val="1"/>
                <c:pt idx="0">
                  <c:v>J11</c:v>
                </c:pt>
              </c:strCache>
            </c:strRef>
          </c:tx>
          <c:spPr>
            <a:ln>
              <a:solidFill>
                <a:srgbClr val="C00000"/>
              </a:solidFill>
            </a:ln>
          </c:spPr>
          <c:marker>
            <c:symbol val="none"/>
          </c:marker>
          <c:cat>
            <c:strRef>
              <c:f>Feuil7!$A$3:$A$55</c:f>
              <c:strCache>
                <c:ptCount val="53"/>
                <c:pt idx="0">
                  <c:v>&lt;40</c:v>
                </c:pt>
                <c:pt idx="1">
                  <c:v>41  -  45</c:v>
                </c:pt>
                <c:pt idx="2">
                  <c:v>46  -  50</c:v>
                </c:pt>
                <c:pt idx="3">
                  <c:v>51  -  55</c:v>
                </c:pt>
                <c:pt idx="4">
                  <c:v>56  -  60</c:v>
                </c:pt>
                <c:pt idx="5">
                  <c:v>61  -  65</c:v>
                </c:pt>
                <c:pt idx="6">
                  <c:v>66  -  70</c:v>
                </c:pt>
                <c:pt idx="7">
                  <c:v>71  -  75</c:v>
                </c:pt>
                <c:pt idx="8">
                  <c:v>76  -  80</c:v>
                </c:pt>
                <c:pt idx="9">
                  <c:v>81 -   85</c:v>
                </c:pt>
                <c:pt idx="10">
                  <c:v>86  -   90</c:v>
                </c:pt>
                <c:pt idx="11">
                  <c:v>91  -   95</c:v>
                </c:pt>
                <c:pt idx="12">
                  <c:v>96  -  100</c:v>
                </c:pt>
                <c:pt idx="13">
                  <c:v>101  -  110</c:v>
                </c:pt>
                <c:pt idx="14">
                  <c:v>111   - 120</c:v>
                </c:pt>
                <c:pt idx="15">
                  <c:v>121  -  130</c:v>
                </c:pt>
                <c:pt idx="16">
                  <c:v>131  -  140</c:v>
                </c:pt>
                <c:pt idx="17">
                  <c:v>141  -  150</c:v>
                </c:pt>
                <c:pt idx="18">
                  <c:v>151  -  160</c:v>
                </c:pt>
                <c:pt idx="19">
                  <c:v>161  -  170</c:v>
                </c:pt>
                <c:pt idx="20">
                  <c:v>171  -  180</c:v>
                </c:pt>
                <c:pt idx="21">
                  <c:v>181  -  190</c:v>
                </c:pt>
                <c:pt idx="22">
                  <c:v>191  -  200</c:v>
                </c:pt>
                <c:pt idx="23">
                  <c:v>201  -  210</c:v>
                </c:pt>
                <c:pt idx="24">
                  <c:v>211  -  220</c:v>
                </c:pt>
                <c:pt idx="25">
                  <c:v>221 -  230</c:v>
                </c:pt>
                <c:pt idx="26">
                  <c:v>231  -  240</c:v>
                </c:pt>
                <c:pt idx="27">
                  <c:v>241  -  250</c:v>
                </c:pt>
                <c:pt idx="28">
                  <c:v>251  -  260</c:v>
                </c:pt>
                <c:pt idx="29">
                  <c:v>261  -  270</c:v>
                </c:pt>
                <c:pt idx="30">
                  <c:v>271  -  280</c:v>
                </c:pt>
                <c:pt idx="31">
                  <c:v>281 -   290</c:v>
                </c:pt>
                <c:pt idx="32">
                  <c:v>291  -  300</c:v>
                </c:pt>
                <c:pt idx="33">
                  <c:v>301  -  325</c:v>
                </c:pt>
                <c:pt idx="34">
                  <c:v>326 -  350</c:v>
                </c:pt>
                <c:pt idx="35">
                  <c:v>351  -  375</c:v>
                </c:pt>
                <c:pt idx="36">
                  <c:v>376 -  400</c:v>
                </c:pt>
                <c:pt idx="37">
                  <c:v>401 -   450</c:v>
                </c:pt>
                <c:pt idx="38">
                  <c:v>451 -   500</c:v>
                </c:pt>
                <c:pt idx="39">
                  <c:v>501  -  600</c:v>
                </c:pt>
                <c:pt idx="40">
                  <c:v>601  -  700</c:v>
                </c:pt>
                <c:pt idx="41">
                  <c:v>701  -  800</c:v>
                </c:pt>
                <c:pt idx="42">
                  <c:v>801  -  900</c:v>
                </c:pt>
                <c:pt idx="43">
                  <c:v>901  -  1000</c:v>
                </c:pt>
                <c:pt idx="44">
                  <c:v>1001 - 1500</c:v>
                </c:pt>
                <c:pt idx="45">
                  <c:v>1501 - 2000</c:v>
                </c:pt>
                <c:pt idx="46">
                  <c:v>2001 - 2500</c:v>
                </c:pt>
                <c:pt idx="47">
                  <c:v>2501 - 3000</c:v>
                </c:pt>
                <c:pt idx="48">
                  <c:v>3001 - 3500</c:v>
                </c:pt>
                <c:pt idx="49">
                  <c:v>3501 - 4000</c:v>
                </c:pt>
                <c:pt idx="50">
                  <c:v>4001 - 4500</c:v>
                </c:pt>
                <c:pt idx="51">
                  <c:v>4501 - 5000</c:v>
                </c:pt>
                <c:pt idx="52">
                  <c:v>&gt; 5000</c:v>
                </c:pt>
              </c:strCache>
            </c:strRef>
          </c:cat>
          <c:val>
            <c:numRef>
              <c:f>Feuil7!$B$3:$B$55</c:f>
              <c:numCache>
                <c:formatCode>General</c:formatCode>
                <c:ptCount val="53"/>
                <c:pt idx="0">
                  <c:v>1182</c:v>
                </c:pt>
                <c:pt idx="1">
                  <c:v>272</c:v>
                </c:pt>
                <c:pt idx="2">
                  <c:v>313</c:v>
                </c:pt>
                <c:pt idx="3">
                  <c:v>374</c:v>
                </c:pt>
                <c:pt idx="4">
                  <c:v>360</c:v>
                </c:pt>
                <c:pt idx="5">
                  <c:v>503</c:v>
                </c:pt>
                <c:pt idx="6">
                  <c:v>530</c:v>
                </c:pt>
                <c:pt idx="7">
                  <c:v>602</c:v>
                </c:pt>
                <c:pt idx="8">
                  <c:v>545</c:v>
                </c:pt>
                <c:pt idx="9">
                  <c:v>811</c:v>
                </c:pt>
                <c:pt idx="10">
                  <c:v>1361</c:v>
                </c:pt>
                <c:pt idx="11">
                  <c:v>1268</c:v>
                </c:pt>
                <c:pt idx="12">
                  <c:v>1713</c:v>
                </c:pt>
                <c:pt idx="13">
                  <c:v>4992</c:v>
                </c:pt>
                <c:pt idx="14">
                  <c:v>4591</c:v>
                </c:pt>
                <c:pt idx="15">
                  <c:v>7854</c:v>
                </c:pt>
                <c:pt idx="16">
                  <c:v>6496</c:v>
                </c:pt>
                <c:pt idx="17">
                  <c:v>7283</c:v>
                </c:pt>
                <c:pt idx="18">
                  <c:v>8885</c:v>
                </c:pt>
                <c:pt idx="19">
                  <c:v>11392</c:v>
                </c:pt>
                <c:pt idx="20">
                  <c:v>12788</c:v>
                </c:pt>
                <c:pt idx="21">
                  <c:v>16154</c:v>
                </c:pt>
                <c:pt idx="22">
                  <c:v>18325</c:v>
                </c:pt>
                <c:pt idx="23">
                  <c:v>20409</c:v>
                </c:pt>
                <c:pt idx="24">
                  <c:v>22976</c:v>
                </c:pt>
                <c:pt idx="25">
                  <c:v>24428</c:v>
                </c:pt>
                <c:pt idx="26">
                  <c:v>27996</c:v>
                </c:pt>
                <c:pt idx="27">
                  <c:v>30350</c:v>
                </c:pt>
                <c:pt idx="28">
                  <c:v>32474</c:v>
                </c:pt>
                <c:pt idx="29">
                  <c:v>35856</c:v>
                </c:pt>
                <c:pt idx="30">
                  <c:v>37204</c:v>
                </c:pt>
                <c:pt idx="31">
                  <c:v>38510</c:v>
                </c:pt>
                <c:pt idx="32">
                  <c:v>38659</c:v>
                </c:pt>
                <c:pt idx="33">
                  <c:v>99263</c:v>
                </c:pt>
                <c:pt idx="34">
                  <c:v>105774</c:v>
                </c:pt>
                <c:pt idx="35">
                  <c:v>117814</c:v>
                </c:pt>
                <c:pt idx="36">
                  <c:v>125942</c:v>
                </c:pt>
                <c:pt idx="37">
                  <c:v>282292</c:v>
                </c:pt>
                <c:pt idx="38">
                  <c:v>284489</c:v>
                </c:pt>
                <c:pt idx="39">
                  <c:v>559800</c:v>
                </c:pt>
                <c:pt idx="40">
                  <c:v>716949</c:v>
                </c:pt>
                <c:pt idx="41">
                  <c:v>281231</c:v>
                </c:pt>
                <c:pt idx="42">
                  <c:v>420695</c:v>
                </c:pt>
                <c:pt idx="43">
                  <c:v>345933</c:v>
                </c:pt>
                <c:pt idx="44">
                  <c:v>479676</c:v>
                </c:pt>
                <c:pt idx="45">
                  <c:v>376067</c:v>
                </c:pt>
                <c:pt idx="46">
                  <c:v>66912</c:v>
                </c:pt>
                <c:pt idx="47">
                  <c:v>36906</c:v>
                </c:pt>
                <c:pt idx="48">
                  <c:v>37151</c:v>
                </c:pt>
                <c:pt idx="49">
                  <c:v>10503</c:v>
                </c:pt>
                <c:pt idx="50">
                  <c:v>3451</c:v>
                </c:pt>
                <c:pt idx="51">
                  <c:v>1301</c:v>
                </c:pt>
                <c:pt idx="52">
                  <c:v>532</c:v>
                </c:pt>
              </c:numCache>
            </c:numRef>
          </c:val>
        </c:ser>
        <c:ser>
          <c:idx val="2"/>
          <c:order val="2"/>
          <c:tx>
            <c:strRef>
              <c:f>Feuil7!$C$2</c:f>
              <c:strCache>
                <c:ptCount val="1"/>
                <c:pt idx="0">
                  <c:v>J12</c:v>
                </c:pt>
              </c:strCache>
            </c:strRef>
          </c:tx>
          <c:spPr>
            <a:ln>
              <a:solidFill>
                <a:schemeClr val="tx1"/>
              </a:solidFill>
              <a:prstDash val="lgDash"/>
            </a:ln>
          </c:spPr>
          <c:marker>
            <c:symbol val="none"/>
          </c:marker>
          <c:cat>
            <c:strRef>
              <c:f>Feuil7!$A$3:$A$55</c:f>
              <c:strCache>
                <c:ptCount val="53"/>
                <c:pt idx="0">
                  <c:v>&lt;40</c:v>
                </c:pt>
                <c:pt idx="1">
                  <c:v>41  -  45</c:v>
                </c:pt>
                <c:pt idx="2">
                  <c:v>46  -  50</c:v>
                </c:pt>
                <c:pt idx="3">
                  <c:v>51  -  55</c:v>
                </c:pt>
                <c:pt idx="4">
                  <c:v>56  -  60</c:v>
                </c:pt>
                <c:pt idx="5">
                  <c:v>61  -  65</c:v>
                </c:pt>
                <c:pt idx="6">
                  <c:v>66  -  70</c:v>
                </c:pt>
                <c:pt idx="7">
                  <c:v>71  -  75</c:v>
                </c:pt>
                <c:pt idx="8">
                  <c:v>76  -  80</c:v>
                </c:pt>
                <c:pt idx="9">
                  <c:v>81 -   85</c:v>
                </c:pt>
                <c:pt idx="10">
                  <c:v>86  -   90</c:v>
                </c:pt>
                <c:pt idx="11">
                  <c:v>91  -   95</c:v>
                </c:pt>
                <c:pt idx="12">
                  <c:v>96  -  100</c:v>
                </c:pt>
                <c:pt idx="13">
                  <c:v>101  -  110</c:v>
                </c:pt>
                <c:pt idx="14">
                  <c:v>111   - 120</c:v>
                </c:pt>
                <c:pt idx="15">
                  <c:v>121  -  130</c:v>
                </c:pt>
                <c:pt idx="16">
                  <c:v>131  -  140</c:v>
                </c:pt>
                <c:pt idx="17">
                  <c:v>141  -  150</c:v>
                </c:pt>
                <c:pt idx="18">
                  <c:v>151  -  160</c:v>
                </c:pt>
                <c:pt idx="19">
                  <c:v>161  -  170</c:v>
                </c:pt>
                <c:pt idx="20">
                  <c:v>171  -  180</c:v>
                </c:pt>
                <c:pt idx="21">
                  <c:v>181  -  190</c:v>
                </c:pt>
                <c:pt idx="22">
                  <c:v>191  -  200</c:v>
                </c:pt>
                <c:pt idx="23">
                  <c:v>201  -  210</c:v>
                </c:pt>
                <c:pt idx="24">
                  <c:v>211  -  220</c:v>
                </c:pt>
                <c:pt idx="25">
                  <c:v>221 -  230</c:v>
                </c:pt>
                <c:pt idx="26">
                  <c:v>231  -  240</c:v>
                </c:pt>
                <c:pt idx="27">
                  <c:v>241  -  250</c:v>
                </c:pt>
                <c:pt idx="28">
                  <c:v>251  -  260</c:v>
                </c:pt>
                <c:pt idx="29">
                  <c:v>261  -  270</c:v>
                </c:pt>
                <c:pt idx="30">
                  <c:v>271  -  280</c:v>
                </c:pt>
                <c:pt idx="31">
                  <c:v>281 -   290</c:v>
                </c:pt>
                <c:pt idx="32">
                  <c:v>291  -  300</c:v>
                </c:pt>
                <c:pt idx="33">
                  <c:v>301  -  325</c:v>
                </c:pt>
                <c:pt idx="34">
                  <c:v>326 -  350</c:v>
                </c:pt>
                <c:pt idx="35">
                  <c:v>351  -  375</c:v>
                </c:pt>
                <c:pt idx="36">
                  <c:v>376 -  400</c:v>
                </c:pt>
                <c:pt idx="37">
                  <c:v>401 -   450</c:v>
                </c:pt>
                <c:pt idx="38">
                  <c:v>451 -   500</c:v>
                </c:pt>
                <c:pt idx="39">
                  <c:v>501  -  600</c:v>
                </c:pt>
                <c:pt idx="40">
                  <c:v>601  -  700</c:v>
                </c:pt>
                <c:pt idx="41">
                  <c:v>701  -  800</c:v>
                </c:pt>
                <c:pt idx="42">
                  <c:v>801  -  900</c:v>
                </c:pt>
                <c:pt idx="43">
                  <c:v>901  -  1000</c:v>
                </c:pt>
                <c:pt idx="44">
                  <c:v>1001 - 1500</c:v>
                </c:pt>
                <c:pt idx="45">
                  <c:v>1501 - 2000</c:v>
                </c:pt>
                <c:pt idx="46">
                  <c:v>2001 - 2500</c:v>
                </c:pt>
                <c:pt idx="47">
                  <c:v>2501 - 3000</c:v>
                </c:pt>
                <c:pt idx="48">
                  <c:v>3001 - 3500</c:v>
                </c:pt>
                <c:pt idx="49">
                  <c:v>3501 - 4000</c:v>
                </c:pt>
                <c:pt idx="50">
                  <c:v>4001 - 4500</c:v>
                </c:pt>
                <c:pt idx="51">
                  <c:v>4501 - 5000</c:v>
                </c:pt>
                <c:pt idx="52">
                  <c:v>&gt; 5000</c:v>
                </c:pt>
              </c:strCache>
            </c:strRef>
          </c:cat>
          <c:val>
            <c:numRef>
              <c:f>Feuil7!$C$3:$C$55</c:f>
              <c:numCache>
                <c:formatCode>General</c:formatCode>
                <c:ptCount val="53"/>
                <c:pt idx="0">
                  <c:v>1453</c:v>
                </c:pt>
                <c:pt idx="1">
                  <c:v>330</c:v>
                </c:pt>
                <c:pt idx="2">
                  <c:v>363</c:v>
                </c:pt>
                <c:pt idx="3">
                  <c:v>431</c:v>
                </c:pt>
                <c:pt idx="4">
                  <c:v>419</c:v>
                </c:pt>
                <c:pt idx="5">
                  <c:v>545</c:v>
                </c:pt>
                <c:pt idx="6">
                  <c:v>588</c:v>
                </c:pt>
                <c:pt idx="7">
                  <c:v>679</c:v>
                </c:pt>
                <c:pt idx="8">
                  <c:v>627</c:v>
                </c:pt>
                <c:pt idx="9">
                  <c:v>917</c:v>
                </c:pt>
                <c:pt idx="10">
                  <c:v>1395</c:v>
                </c:pt>
                <c:pt idx="11">
                  <c:v>1330</c:v>
                </c:pt>
                <c:pt idx="12">
                  <c:v>1734</c:v>
                </c:pt>
                <c:pt idx="13">
                  <c:v>4900</c:v>
                </c:pt>
                <c:pt idx="14">
                  <c:v>4608</c:v>
                </c:pt>
                <c:pt idx="15">
                  <c:v>7517</c:v>
                </c:pt>
                <c:pt idx="16">
                  <c:v>6383</c:v>
                </c:pt>
                <c:pt idx="17">
                  <c:v>7232</c:v>
                </c:pt>
                <c:pt idx="18">
                  <c:v>8886</c:v>
                </c:pt>
                <c:pt idx="19">
                  <c:v>11265</c:v>
                </c:pt>
                <c:pt idx="20">
                  <c:v>12660</c:v>
                </c:pt>
                <c:pt idx="21">
                  <c:v>15996</c:v>
                </c:pt>
                <c:pt idx="22">
                  <c:v>18101</c:v>
                </c:pt>
                <c:pt idx="23">
                  <c:v>20214</c:v>
                </c:pt>
                <c:pt idx="24">
                  <c:v>22447</c:v>
                </c:pt>
                <c:pt idx="25">
                  <c:v>24126</c:v>
                </c:pt>
                <c:pt idx="26">
                  <c:v>27472</c:v>
                </c:pt>
                <c:pt idx="27">
                  <c:v>29141</c:v>
                </c:pt>
                <c:pt idx="28">
                  <c:v>31227</c:v>
                </c:pt>
                <c:pt idx="29">
                  <c:v>33931</c:v>
                </c:pt>
                <c:pt idx="30">
                  <c:v>34864</c:v>
                </c:pt>
                <c:pt idx="31">
                  <c:v>36575</c:v>
                </c:pt>
                <c:pt idx="32">
                  <c:v>37031</c:v>
                </c:pt>
                <c:pt idx="33">
                  <c:v>95417</c:v>
                </c:pt>
                <c:pt idx="34">
                  <c:v>102312</c:v>
                </c:pt>
                <c:pt idx="35">
                  <c:v>112866</c:v>
                </c:pt>
                <c:pt idx="36">
                  <c:v>119400</c:v>
                </c:pt>
                <c:pt idx="37">
                  <c:v>265299</c:v>
                </c:pt>
                <c:pt idx="38">
                  <c:v>263449</c:v>
                </c:pt>
                <c:pt idx="39">
                  <c:v>511401</c:v>
                </c:pt>
                <c:pt idx="40">
                  <c:v>661496</c:v>
                </c:pt>
                <c:pt idx="41">
                  <c:v>258810</c:v>
                </c:pt>
                <c:pt idx="42">
                  <c:v>399332</c:v>
                </c:pt>
                <c:pt idx="43">
                  <c:v>347990</c:v>
                </c:pt>
                <c:pt idx="44">
                  <c:v>521085</c:v>
                </c:pt>
                <c:pt idx="45">
                  <c:v>464702</c:v>
                </c:pt>
                <c:pt idx="46">
                  <c:v>85095</c:v>
                </c:pt>
                <c:pt idx="47">
                  <c:v>46505</c:v>
                </c:pt>
                <c:pt idx="48">
                  <c:v>46143</c:v>
                </c:pt>
                <c:pt idx="49">
                  <c:v>13071</c:v>
                </c:pt>
                <c:pt idx="50">
                  <c:v>4505</c:v>
                </c:pt>
                <c:pt idx="51">
                  <c:v>1625</c:v>
                </c:pt>
                <c:pt idx="52">
                  <c:v>703</c:v>
                </c:pt>
              </c:numCache>
            </c:numRef>
          </c:val>
        </c:ser>
        <c:marker val="1"/>
        <c:axId val="103045760"/>
        <c:axId val="66974080"/>
      </c:lineChart>
      <c:catAx>
        <c:axId val="103045760"/>
        <c:scaling>
          <c:orientation val="minMax"/>
        </c:scaling>
        <c:axPos val="b"/>
        <c:tickLblPos val="nextTo"/>
        <c:txPr>
          <a:bodyPr/>
          <a:lstStyle/>
          <a:p>
            <a:pPr>
              <a:defRPr sz="800"/>
            </a:pPr>
            <a:endParaRPr lang="fr-FR"/>
          </a:p>
        </c:txPr>
        <c:crossAx val="66974080"/>
        <c:crosses val="autoZero"/>
        <c:auto val="1"/>
        <c:lblAlgn val="ctr"/>
        <c:lblOffset val="100"/>
      </c:catAx>
      <c:valAx>
        <c:axId val="66974080"/>
        <c:scaling>
          <c:orientation val="minMax"/>
        </c:scaling>
        <c:axPos val="l"/>
        <c:majorGridlines/>
        <c:numFmt formatCode="General" sourceLinked="1"/>
        <c:tickLblPos val="nextTo"/>
        <c:txPr>
          <a:bodyPr/>
          <a:lstStyle/>
          <a:p>
            <a:pPr>
              <a:defRPr sz="800"/>
            </a:pPr>
            <a:endParaRPr lang="fr-FR"/>
          </a:p>
        </c:txPr>
        <c:crossAx val="103045760"/>
        <c:crosses val="autoZero"/>
        <c:crossBetween val="between"/>
      </c:valAx>
    </c:plotArea>
    <c:legend>
      <c:legendPos val="r"/>
      <c:legendEntry>
        <c:idx val="0"/>
        <c:delete val="1"/>
      </c:legendEntry>
      <c:layout>
        <c:manualLayout>
          <c:xMode val="edge"/>
          <c:yMode val="edge"/>
          <c:x val="9.9169895429737961E-2"/>
          <c:y val="3.9001863897447586E-2"/>
          <c:w val="0.31749052201808131"/>
          <c:h val="6.8887278757063727E-2"/>
        </c:manualLayout>
      </c:layout>
    </c:legend>
    <c:plotVisOnly val="1"/>
  </c:chart>
  <c:txPr>
    <a:bodyPr/>
    <a:lstStyle/>
    <a:p>
      <a:pPr>
        <a:defRPr>
          <a:latin typeface="Times New Roman" pitchFamily="18" charset="0"/>
          <a:cs typeface="Times New Roman"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7577257177218182E-2"/>
          <c:y val="0"/>
          <c:w val="0.89230686721435359"/>
          <c:h val="1"/>
        </c:manualLayout>
      </c:layout>
      <c:pieChart>
        <c:varyColors val="1"/>
        <c:ser>
          <c:idx val="0"/>
          <c:order val="0"/>
          <c:dPt>
            <c:idx val="0"/>
            <c:spPr>
              <a:solidFill>
                <a:srgbClr val="7030A0"/>
              </a:solidFill>
            </c:spPr>
          </c:dPt>
          <c:dPt>
            <c:idx val="1"/>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50000" t="50000" r="50000" b="50000"/>
                </a:path>
                <a:tileRect/>
              </a:gradFill>
            </c:spPr>
          </c:dPt>
          <c:dPt>
            <c:idx val="2"/>
            <c:spPr>
              <a:solidFill>
                <a:srgbClr val="FFFF00"/>
              </a:solidFill>
            </c:spPr>
          </c:dPt>
          <c:dLbls>
            <c:dLbl>
              <c:idx val="0"/>
              <c:layout>
                <c:manualLayout>
                  <c:x val="-0.11258282343190076"/>
                  <c:y val="0.21146953405018018"/>
                </c:manualLayout>
              </c:layout>
              <c:showCatName val="1"/>
              <c:showPercent val="1"/>
            </c:dLbl>
            <c:dLbl>
              <c:idx val="1"/>
              <c:layout>
                <c:manualLayout>
                  <c:x val="0.28928695058628506"/>
                  <c:y val="-9.5025541162194221E-2"/>
                </c:manualLayout>
              </c:layout>
              <c:showCatName val="1"/>
              <c:showPercent val="1"/>
            </c:dLbl>
            <c:dLbl>
              <c:idx val="2"/>
              <c:layout>
                <c:manualLayout>
                  <c:x val="4.0003250367697848E-2"/>
                  <c:y val="6.5710872162485071E-2"/>
                </c:manualLayout>
              </c:layout>
              <c:showCatName val="1"/>
              <c:showPercent val="1"/>
            </c:dLbl>
            <c:spPr>
              <a:solidFill>
                <a:schemeClr val="bg1"/>
              </a:solidFill>
            </c:spPr>
            <c:txPr>
              <a:bodyPr/>
              <a:lstStyle/>
              <a:p>
                <a:pPr>
                  <a:defRPr>
                    <a:latin typeface="Times New Roman" pitchFamily="18" charset="0"/>
                    <a:cs typeface="Times New Roman" pitchFamily="18" charset="0"/>
                  </a:defRPr>
                </a:pPr>
                <a:endParaRPr lang="fr-FR"/>
              </a:p>
            </c:txPr>
            <c:showCatName val="1"/>
            <c:showPercent val="1"/>
            <c:showLeaderLines val="1"/>
          </c:dLbls>
          <c:cat>
            <c:strRef>
              <c:f>Feuil10!$F$14:$F$16</c:f>
              <c:strCache>
                <c:ptCount val="3"/>
                <c:pt idx="0">
                  <c:v>&lt;400</c:v>
                </c:pt>
                <c:pt idx="1">
                  <c:v>401-2000</c:v>
                </c:pt>
                <c:pt idx="2">
                  <c:v>&gt;2000</c:v>
                </c:pt>
              </c:strCache>
            </c:strRef>
          </c:cat>
          <c:val>
            <c:numRef>
              <c:f>Feuil10!$G$14:$G$16</c:f>
              <c:numCache>
                <c:formatCode>General</c:formatCode>
                <c:ptCount val="3"/>
                <c:pt idx="0">
                  <c:v>835382</c:v>
                </c:pt>
                <c:pt idx="1">
                  <c:v>3693564</c:v>
                </c:pt>
                <c:pt idx="2">
                  <c:v>197647</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7.3447589884597764E-2"/>
          <c:y val="4.6118059248763825E-2"/>
          <c:w val="0.91788665305725659"/>
          <c:h val="0.72902132324899593"/>
        </c:manualLayout>
      </c:layout>
      <c:lineChart>
        <c:grouping val="standard"/>
        <c:ser>
          <c:idx val="0"/>
          <c:order val="0"/>
          <c:tx>
            <c:v>Mar.2009</c:v>
          </c:tx>
          <c:cat>
            <c:strRef>
              <c:f>Sheet2!$A$4:$A$41</c:f>
              <c:strCache>
                <c:ptCount val="38"/>
                <c:pt idx="0">
                  <c:v>ALBA</c:v>
                </c:pt>
                <c:pt idx="1">
                  <c:v>BRASOV</c:v>
                </c:pt>
                <c:pt idx="2">
                  <c:v>COVASNA</c:v>
                </c:pt>
                <c:pt idx="3">
                  <c:v>HARGHITA</c:v>
                </c:pt>
                <c:pt idx="4">
                  <c:v>MURES</c:v>
                </c:pt>
                <c:pt idx="5">
                  <c:v>SIBIU</c:v>
                </c:pt>
                <c:pt idx="6">
                  <c:v>BIHOR</c:v>
                </c:pt>
                <c:pt idx="7">
                  <c:v>BISTRITA</c:v>
                </c:pt>
                <c:pt idx="8">
                  <c:v>CLUJ</c:v>
                </c:pt>
                <c:pt idx="9">
                  <c:v>MARAMURES</c:v>
                </c:pt>
                <c:pt idx="10">
                  <c:v>SALAJ</c:v>
                </c:pt>
                <c:pt idx="11">
                  <c:v>SATU MARE</c:v>
                </c:pt>
                <c:pt idx="12">
                  <c:v>BACAU</c:v>
                </c:pt>
                <c:pt idx="13">
                  <c:v>BOTOSANI</c:v>
                </c:pt>
                <c:pt idx="14">
                  <c:v>IASI</c:v>
                </c:pt>
                <c:pt idx="15">
                  <c:v>NEAMT</c:v>
                </c:pt>
                <c:pt idx="16">
                  <c:v>SUCEAVA</c:v>
                </c:pt>
                <c:pt idx="17">
                  <c:v>VASLUI</c:v>
                </c:pt>
                <c:pt idx="18">
                  <c:v>BRAILA</c:v>
                </c:pt>
                <c:pt idx="19">
                  <c:v>BUZAU</c:v>
                </c:pt>
                <c:pt idx="20">
                  <c:v>CONSTANTA</c:v>
                </c:pt>
                <c:pt idx="21">
                  <c:v>GALATI</c:v>
                </c:pt>
                <c:pt idx="22">
                  <c:v>TULCEA</c:v>
                </c:pt>
                <c:pt idx="23">
                  <c:v>VRANCEA</c:v>
                </c:pt>
                <c:pt idx="24">
                  <c:v>ARGES</c:v>
                </c:pt>
                <c:pt idx="25">
                  <c:v>CALARASI</c:v>
                </c:pt>
                <c:pt idx="26">
                  <c:v>DIMBOVITA</c:v>
                </c:pt>
                <c:pt idx="27">
                  <c:v>GIURGIU</c:v>
                </c:pt>
                <c:pt idx="28">
                  <c:v>IALOMITA</c:v>
                </c:pt>
                <c:pt idx="29">
                  <c:v>PRAHOVA</c:v>
                </c:pt>
                <c:pt idx="30">
                  <c:v>TELEORMAN</c:v>
                </c:pt>
                <c:pt idx="31">
                  <c:v>ILFOV</c:v>
                </c:pt>
                <c:pt idx="32">
                  <c:v>TOTAL SECTOARE</c:v>
                </c:pt>
                <c:pt idx="33">
                  <c:v>DOLJ</c:v>
                </c:pt>
                <c:pt idx="34">
                  <c:v>GORJ</c:v>
                </c:pt>
                <c:pt idx="35">
                  <c:v>MEHEDINTI</c:v>
                </c:pt>
                <c:pt idx="36">
                  <c:v>OLT</c:v>
                </c:pt>
                <c:pt idx="37">
                  <c:v>VILCEA</c:v>
                </c:pt>
              </c:strCache>
            </c:strRef>
          </c:cat>
          <c:val>
            <c:numRef>
              <c:f>Sheet2!$B$4:$B$41</c:f>
              <c:numCache>
                <c:formatCode>#,##0</c:formatCode>
                <c:ptCount val="38"/>
                <c:pt idx="0">
                  <c:v>678.86314694282441</c:v>
                </c:pt>
                <c:pt idx="1">
                  <c:v>826.5428398221743</c:v>
                </c:pt>
                <c:pt idx="2">
                  <c:v>676.17334900225853</c:v>
                </c:pt>
                <c:pt idx="3">
                  <c:v>673.07629704984754</c:v>
                </c:pt>
                <c:pt idx="4">
                  <c:v>657.26569105456849</c:v>
                </c:pt>
                <c:pt idx="5">
                  <c:v>720.12641619502142</c:v>
                </c:pt>
                <c:pt idx="6">
                  <c:v>659.08230139672878</c:v>
                </c:pt>
                <c:pt idx="7">
                  <c:v>584.04682830244747</c:v>
                </c:pt>
                <c:pt idx="8">
                  <c:v>739.52190324194578</c:v>
                </c:pt>
                <c:pt idx="9">
                  <c:v>681.7299302266199</c:v>
                </c:pt>
                <c:pt idx="10">
                  <c:v>616.42863837542291</c:v>
                </c:pt>
                <c:pt idx="11">
                  <c:v>606.40485604921753</c:v>
                </c:pt>
                <c:pt idx="12">
                  <c:v>679.38558718610329</c:v>
                </c:pt>
                <c:pt idx="13">
                  <c:v>568.37583100586153</c:v>
                </c:pt>
                <c:pt idx="14">
                  <c:v>679.02197256620855</c:v>
                </c:pt>
                <c:pt idx="15">
                  <c:v>651.95325705594246</c:v>
                </c:pt>
                <c:pt idx="16">
                  <c:v>613.94188947054067</c:v>
                </c:pt>
                <c:pt idx="17">
                  <c:v>579.28785551018086</c:v>
                </c:pt>
                <c:pt idx="18">
                  <c:v>653.31608835180259</c:v>
                </c:pt>
                <c:pt idx="19">
                  <c:v>606.62422938396696</c:v>
                </c:pt>
                <c:pt idx="20">
                  <c:v>689.24193904005961</c:v>
                </c:pt>
                <c:pt idx="21">
                  <c:v>721.02419225000654</c:v>
                </c:pt>
                <c:pt idx="22">
                  <c:v>612.17116124190977</c:v>
                </c:pt>
                <c:pt idx="23">
                  <c:v>582.30157991169312</c:v>
                </c:pt>
                <c:pt idx="24">
                  <c:v>674.80547255441081</c:v>
                </c:pt>
                <c:pt idx="25">
                  <c:v>581.80542321563735</c:v>
                </c:pt>
                <c:pt idx="26">
                  <c:v>637.79633733327853</c:v>
                </c:pt>
                <c:pt idx="27">
                  <c:v>554.28549685066355</c:v>
                </c:pt>
                <c:pt idx="28">
                  <c:v>595.60147883732805</c:v>
                </c:pt>
                <c:pt idx="29">
                  <c:v>732.38968296944154</c:v>
                </c:pt>
                <c:pt idx="30">
                  <c:v>589.1208771838875</c:v>
                </c:pt>
                <c:pt idx="31">
                  <c:v>625.6672379117922</c:v>
                </c:pt>
                <c:pt idx="32">
                  <c:v>869.85819704545747</c:v>
                </c:pt>
                <c:pt idx="33">
                  <c:v>588.5305866359929</c:v>
                </c:pt>
                <c:pt idx="34">
                  <c:v>621.38998426899354</c:v>
                </c:pt>
                <c:pt idx="35">
                  <c:v>643.91012485035048</c:v>
                </c:pt>
                <c:pt idx="36">
                  <c:v>648.3864479279996</c:v>
                </c:pt>
                <c:pt idx="37">
                  <c:v>689.2918396462959</c:v>
                </c:pt>
              </c:numCache>
            </c:numRef>
          </c:val>
        </c:ser>
        <c:ser>
          <c:idx val="1"/>
          <c:order val="1"/>
          <c:tx>
            <c:v>May.2012</c:v>
          </c:tx>
          <c:cat>
            <c:strRef>
              <c:f>Sheet2!$A$4:$A$41</c:f>
              <c:strCache>
                <c:ptCount val="38"/>
                <c:pt idx="0">
                  <c:v>ALBA</c:v>
                </c:pt>
                <c:pt idx="1">
                  <c:v>BRASOV</c:v>
                </c:pt>
                <c:pt idx="2">
                  <c:v>COVASNA</c:v>
                </c:pt>
                <c:pt idx="3">
                  <c:v>HARGHITA</c:v>
                </c:pt>
                <c:pt idx="4">
                  <c:v>MURES</c:v>
                </c:pt>
                <c:pt idx="5">
                  <c:v>SIBIU</c:v>
                </c:pt>
                <c:pt idx="6">
                  <c:v>BIHOR</c:v>
                </c:pt>
                <c:pt idx="7">
                  <c:v>BISTRITA</c:v>
                </c:pt>
                <c:pt idx="8">
                  <c:v>CLUJ</c:v>
                </c:pt>
                <c:pt idx="9">
                  <c:v>MARAMURES</c:v>
                </c:pt>
                <c:pt idx="10">
                  <c:v>SALAJ</c:v>
                </c:pt>
                <c:pt idx="11">
                  <c:v>SATU MARE</c:v>
                </c:pt>
                <c:pt idx="12">
                  <c:v>BACAU</c:v>
                </c:pt>
                <c:pt idx="13">
                  <c:v>BOTOSANI</c:v>
                </c:pt>
                <c:pt idx="14">
                  <c:v>IASI</c:v>
                </c:pt>
                <c:pt idx="15">
                  <c:v>NEAMT</c:v>
                </c:pt>
                <c:pt idx="16">
                  <c:v>SUCEAVA</c:v>
                </c:pt>
                <c:pt idx="17">
                  <c:v>VASLUI</c:v>
                </c:pt>
                <c:pt idx="18">
                  <c:v>BRAILA</c:v>
                </c:pt>
                <c:pt idx="19">
                  <c:v>BUZAU</c:v>
                </c:pt>
                <c:pt idx="20">
                  <c:v>CONSTANTA</c:v>
                </c:pt>
                <c:pt idx="21">
                  <c:v>GALATI</c:v>
                </c:pt>
                <c:pt idx="22">
                  <c:v>TULCEA</c:v>
                </c:pt>
                <c:pt idx="23">
                  <c:v>VRANCEA</c:v>
                </c:pt>
                <c:pt idx="24">
                  <c:v>ARGES</c:v>
                </c:pt>
                <c:pt idx="25">
                  <c:v>CALARASI</c:v>
                </c:pt>
                <c:pt idx="26">
                  <c:v>DIMBOVITA</c:v>
                </c:pt>
                <c:pt idx="27">
                  <c:v>GIURGIU</c:v>
                </c:pt>
                <c:pt idx="28">
                  <c:v>IALOMITA</c:v>
                </c:pt>
                <c:pt idx="29">
                  <c:v>PRAHOVA</c:v>
                </c:pt>
                <c:pt idx="30">
                  <c:v>TELEORMAN</c:v>
                </c:pt>
                <c:pt idx="31">
                  <c:v>ILFOV</c:v>
                </c:pt>
                <c:pt idx="32">
                  <c:v>TOTAL SECTOARE</c:v>
                </c:pt>
                <c:pt idx="33">
                  <c:v>DOLJ</c:v>
                </c:pt>
                <c:pt idx="34">
                  <c:v>GORJ</c:v>
                </c:pt>
                <c:pt idx="35">
                  <c:v>MEHEDINTI</c:v>
                </c:pt>
                <c:pt idx="36">
                  <c:v>OLT</c:v>
                </c:pt>
                <c:pt idx="37">
                  <c:v>VILCEA</c:v>
                </c:pt>
              </c:strCache>
            </c:strRef>
          </c:cat>
          <c:val>
            <c:numRef>
              <c:f>Sheet2!$C$4:$C$41</c:f>
              <c:numCache>
                <c:formatCode>#,##0</c:formatCode>
                <c:ptCount val="38"/>
                <c:pt idx="0">
                  <c:v>774</c:v>
                </c:pt>
                <c:pt idx="1">
                  <c:v>939</c:v>
                </c:pt>
                <c:pt idx="2">
                  <c:v>745</c:v>
                </c:pt>
                <c:pt idx="3">
                  <c:v>748</c:v>
                </c:pt>
                <c:pt idx="4">
                  <c:v>740</c:v>
                </c:pt>
                <c:pt idx="5">
                  <c:v>805</c:v>
                </c:pt>
                <c:pt idx="6">
                  <c:v>734</c:v>
                </c:pt>
                <c:pt idx="7">
                  <c:v>657</c:v>
                </c:pt>
                <c:pt idx="8">
                  <c:v>835</c:v>
                </c:pt>
                <c:pt idx="9">
                  <c:v>762</c:v>
                </c:pt>
                <c:pt idx="10">
                  <c:v>705</c:v>
                </c:pt>
                <c:pt idx="11">
                  <c:v>667</c:v>
                </c:pt>
                <c:pt idx="12">
                  <c:v>775</c:v>
                </c:pt>
                <c:pt idx="13">
                  <c:v>635</c:v>
                </c:pt>
                <c:pt idx="14">
                  <c:v>765</c:v>
                </c:pt>
                <c:pt idx="15">
                  <c:v>744</c:v>
                </c:pt>
                <c:pt idx="16">
                  <c:v>689</c:v>
                </c:pt>
                <c:pt idx="17">
                  <c:v>653</c:v>
                </c:pt>
                <c:pt idx="18">
                  <c:v>735</c:v>
                </c:pt>
                <c:pt idx="19">
                  <c:v>692</c:v>
                </c:pt>
                <c:pt idx="20">
                  <c:v>793</c:v>
                </c:pt>
                <c:pt idx="21">
                  <c:v>844</c:v>
                </c:pt>
                <c:pt idx="22">
                  <c:v>687</c:v>
                </c:pt>
                <c:pt idx="23">
                  <c:v>650</c:v>
                </c:pt>
                <c:pt idx="24">
                  <c:v>774</c:v>
                </c:pt>
                <c:pt idx="25">
                  <c:v>656</c:v>
                </c:pt>
                <c:pt idx="26">
                  <c:v>733</c:v>
                </c:pt>
                <c:pt idx="27">
                  <c:v>623</c:v>
                </c:pt>
                <c:pt idx="28">
                  <c:v>669</c:v>
                </c:pt>
                <c:pt idx="29">
                  <c:v>827</c:v>
                </c:pt>
                <c:pt idx="30">
                  <c:v>674</c:v>
                </c:pt>
                <c:pt idx="31">
                  <c:v>711</c:v>
                </c:pt>
                <c:pt idx="32">
                  <c:v>981</c:v>
                </c:pt>
                <c:pt idx="33">
                  <c:v>671</c:v>
                </c:pt>
                <c:pt idx="34">
                  <c:v>717</c:v>
                </c:pt>
                <c:pt idx="35">
                  <c:v>731</c:v>
                </c:pt>
                <c:pt idx="36">
                  <c:v>730</c:v>
                </c:pt>
                <c:pt idx="37">
                  <c:v>798</c:v>
                </c:pt>
              </c:numCache>
            </c:numRef>
          </c:val>
        </c:ser>
        <c:marker val="1"/>
        <c:axId val="82890112"/>
        <c:axId val="83653760"/>
      </c:lineChart>
      <c:catAx>
        <c:axId val="82890112"/>
        <c:scaling>
          <c:orientation val="minMax"/>
        </c:scaling>
        <c:axPos val="b"/>
        <c:majorGridlines/>
        <c:tickLblPos val="nextTo"/>
        <c:txPr>
          <a:bodyPr/>
          <a:lstStyle/>
          <a:p>
            <a:pPr>
              <a:defRPr sz="900" baseline="0">
                <a:latin typeface="Agency FB" pitchFamily="34" charset="0"/>
              </a:defRPr>
            </a:pPr>
            <a:endParaRPr lang="fr-FR"/>
          </a:p>
        </c:txPr>
        <c:crossAx val="83653760"/>
        <c:crosses val="autoZero"/>
        <c:auto val="1"/>
        <c:lblAlgn val="ctr"/>
        <c:lblOffset val="100"/>
      </c:catAx>
      <c:valAx>
        <c:axId val="83653760"/>
        <c:scaling>
          <c:orientation val="minMax"/>
          <c:min val="400"/>
        </c:scaling>
        <c:axPos val="l"/>
        <c:majorGridlines/>
        <c:numFmt formatCode="#,##0" sourceLinked="1"/>
        <c:tickLblPos val="nextTo"/>
        <c:crossAx val="82890112"/>
        <c:crosses val="autoZero"/>
        <c:crossBetween val="between"/>
      </c:valAx>
    </c:plotArea>
    <c:legend>
      <c:legendPos val="b"/>
      <c:layout>
        <c:manualLayout>
          <c:xMode val="edge"/>
          <c:yMode val="edge"/>
          <c:x val="0.33690476190476454"/>
          <c:y val="8.1657570744426922E-2"/>
          <c:w val="0.33941798941799101"/>
          <c:h val="7.5113478253190522E-2"/>
        </c:manualLayout>
      </c:layout>
      <c:spPr>
        <a:solidFill>
          <a:schemeClr val="bg1"/>
        </a:solidFill>
        <a:ln>
          <a:solidFill>
            <a:schemeClr val="tx1"/>
          </a:solidFill>
        </a:ln>
      </c:sp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8817853734192314E-2"/>
          <c:y val="3.7101151829705602E-2"/>
          <c:w val="0.93789534120734908"/>
          <c:h val="0.75410468428289235"/>
        </c:manualLayout>
      </c:layout>
      <c:barChart>
        <c:barDir val="col"/>
        <c:grouping val="clustered"/>
        <c:ser>
          <c:idx val="0"/>
          <c:order val="0"/>
          <c:tx>
            <c:strRef>
              <c:f>Feuil5!$B$1</c:f>
              <c:strCache>
                <c:ptCount val="1"/>
                <c:pt idx="0">
                  <c:v>Nom</c:v>
                </c:pt>
              </c:strCache>
            </c:strRef>
          </c:tx>
          <c:spPr>
            <a:solidFill>
              <a:srgbClr val="0070C0"/>
            </a:solidFill>
          </c:spPr>
          <c:cat>
            <c:strRef>
              <c:f>Feuil5!$A$2:$A$43</c:f>
              <c:strCache>
                <c:ptCount val="42"/>
                <c:pt idx="0">
                  <c:v>ILFOV</c:v>
                </c:pt>
                <c:pt idx="1">
                  <c:v>BUCURESTI</c:v>
                </c:pt>
                <c:pt idx="2">
                  <c:v>GIURGIU</c:v>
                </c:pt>
                <c:pt idx="3">
                  <c:v>SIBIU</c:v>
                </c:pt>
                <c:pt idx="4">
                  <c:v>GORJ</c:v>
                </c:pt>
                <c:pt idx="5">
                  <c:v>TIMIS</c:v>
                </c:pt>
                <c:pt idx="6">
                  <c:v>DOLJ</c:v>
                </c:pt>
                <c:pt idx="7">
                  <c:v>CLUJ</c:v>
                </c:pt>
                <c:pt idx="8">
                  <c:v>OLT</c:v>
                </c:pt>
                <c:pt idx="9">
                  <c:v>TULCEA</c:v>
                </c:pt>
                <c:pt idx="10">
                  <c:v>ARAD</c:v>
                </c:pt>
                <c:pt idx="11">
                  <c:v>ARGES</c:v>
                </c:pt>
                <c:pt idx="12">
                  <c:v>IASI</c:v>
                </c:pt>
                <c:pt idx="13">
                  <c:v>BUZAU</c:v>
                </c:pt>
                <c:pt idx="14">
                  <c:v>MEHEDINTI</c:v>
                </c:pt>
                <c:pt idx="15">
                  <c:v>IALOMITA</c:v>
                </c:pt>
                <c:pt idx="16">
                  <c:v>MURES</c:v>
                </c:pt>
                <c:pt idx="17">
                  <c:v>CONSTANTA</c:v>
                </c:pt>
                <c:pt idx="18">
                  <c:v>CALARASI</c:v>
                </c:pt>
                <c:pt idx="19">
                  <c:v>VILCEA</c:v>
                </c:pt>
                <c:pt idx="20">
                  <c:v>PRAHOVA</c:v>
                </c:pt>
                <c:pt idx="21">
                  <c:v>SATU MARE</c:v>
                </c:pt>
                <c:pt idx="22">
                  <c:v>BOTOSANI</c:v>
                </c:pt>
                <c:pt idx="23">
                  <c:v>ALBA</c:v>
                </c:pt>
                <c:pt idx="24">
                  <c:v>VASLUI</c:v>
                </c:pt>
                <c:pt idx="25">
                  <c:v>BISTRITA</c:v>
                </c:pt>
                <c:pt idx="26">
                  <c:v>TELEORMAN</c:v>
                </c:pt>
                <c:pt idx="27">
                  <c:v>VRANCEA</c:v>
                </c:pt>
                <c:pt idx="28">
                  <c:v>DIMBOVITA</c:v>
                </c:pt>
                <c:pt idx="29">
                  <c:v>BRAILA</c:v>
                </c:pt>
                <c:pt idx="30">
                  <c:v>SALAJ</c:v>
                </c:pt>
                <c:pt idx="31">
                  <c:v>SUCEAVA</c:v>
                </c:pt>
                <c:pt idx="32">
                  <c:v>GALATI</c:v>
                </c:pt>
                <c:pt idx="33">
                  <c:v>COVASNA</c:v>
                </c:pt>
                <c:pt idx="34">
                  <c:v>BRASOV</c:v>
                </c:pt>
                <c:pt idx="35">
                  <c:v>BIHOR</c:v>
                </c:pt>
                <c:pt idx="36">
                  <c:v>BACAU</c:v>
                </c:pt>
                <c:pt idx="37">
                  <c:v>NEAMT</c:v>
                </c:pt>
                <c:pt idx="38">
                  <c:v>CARAS SEVERIN</c:v>
                </c:pt>
                <c:pt idx="39">
                  <c:v>MARAMURES</c:v>
                </c:pt>
                <c:pt idx="40">
                  <c:v>HARGHITA</c:v>
                </c:pt>
                <c:pt idx="41">
                  <c:v>HUNEDOARA</c:v>
                </c:pt>
              </c:strCache>
            </c:strRef>
          </c:cat>
          <c:val>
            <c:numRef>
              <c:f>Feuil5!$B$2:$B$43</c:f>
              <c:numCache>
                <c:formatCode>#,##0</c:formatCode>
                <c:ptCount val="42"/>
                <c:pt idx="0">
                  <c:v>708</c:v>
                </c:pt>
                <c:pt idx="1">
                  <c:v>979</c:v>
                </c:pt>
                <c:pt idx="2">
                  <c:v>623</c:v>
                </c:pt>
                <c:pt idx="3">
                  <c:v>806</c:v>
                </c:pt>
                <c:pt idx="4">
                  <c:v>795</c:v>
                </c:pt>
                <c:pt idx="5">
                  <c:v>788</c:v>
                </c:pt>
                <c:pt idx="6">
                  <c:v>729</c:v>
                </c:pt>
                <c:pt idx="7">
                  <c:v>834</c:v>
                </c:pt>
                <c:pt idx="8">
                  <c:v>671</c:v>
                </c:pt>
                <c:pt idx="9">
                  <c:v>687</c:v>
                </c:pt>
                <c:pt idx="10">
                  <c:v>719</c:v>
                </c:pt>
                <c:pt idx="11">
                  <c:v>773</c:v>
                </c:pt>
                <c:pt idx="12">
                  <c:v>764</c:v>
                </c:pt>
                <c:pt idx="13">
                  <c:v>691</c:v>
                </c:pt>
                <c:pt idx="14">
                  <c:v>731</c:v>
                </c:pt>
                <c:pt idx="15">
                  <c:v>668</c:v>
                </c:pt>
                <c:pt idx="16">
                  <c:v>740</c:v>
                </c:pt>
                <c:pt idx="17">
                  <c:v>793</c:v>
                </c:pt>
                <c:pt idx="18">
                  <c:v>654</c:v>
                </c:pt>
                <c:pt idx="19">
                  <c:v>716</c:v>
                </c:pt>
                <c:pt idx="20">
                  <c:v>825</c:v>
                </c:pt>
                <c:pt idx="21">
                  <c:v>666</c:v>
                </c:pt>
                <c:pt idx="22">
                  <c:v>634</c:v>
                </c:pt>
                <c:pt idx="23">
                  <c:v>774</c:v>
                </c:pt>
                <c:pt idx="24">
                  <c:v>652</c:v>
                </c:pt>
                <c:pt idx="25">
                  <c:v>657</c:v>
                </c:pt>
                <c:pt idx="26">
                  <c:v>673</c:v>
                </c:pt>
                <c:pt idx="27">
                  <c:v>650</c:v>
                </c:pt>
                <c:pt idx="28">
                  <c:v>731</c:v>
                </c:pt>
                <c:pt idx="29">
                  <c:v>735</c:v>
                </c:pt>
                <c:pt idx="30">
                  <c:v>705</c:v>
                </c:pt>
                <c:pt idx="31">
                  <c:v>687</c:v>
                </c:pt>
                <c:pt idx="32">
                  <c:v>844</c:v>
                </c:pt>
                <c:pt idx="33">
                  <c:v>745</c:v>
                </c:pt>
                <c:pt idx="34">
                  <c:v>939</c:v>
                </c:pt>
                <c:pt idx="35">
                  <c:v>734</c:v>
                </c:pt>
                <c:pt idx="36">
                  <c:v>774</c:v>
                </c:pt>
                <c:pt idx="37">
                  <c:v>744</c:v>
                </c:pt>
                <c:pt idx="38">
                  <c:v>778</c:v>
                </c:pt>
                <c:pt idx="39">
                  <c:v>761</c:v>
                </c:pt>
                <c:pt idx="40">
                  <c:v>747</c:v>
                </c:pt>
                <c:pt idx="41">
                  <c:v>956</c:v>
                </c:pt>
              </c:numCache>
            </c:numRef>
          </c:val>
        </c:ser>
        <c:ser>
          <c:idx val="1"/>
          <c:order val="1"/>
          <c:tx>
            <c:strRef>
              <c:f>Feuil5!$C$1</c:f>
              <c:strCache>
                <c:ptCount val="1"/>
                <c:pt idx="0">
                  <c:v>Real</c:v>
                </c:pt>
              </c:strCache>
            </c:strRef>
          </c:tx>
          <c:spPr>
            <a:solidFill>
              <a:srgbClr val="FF0000"/>
            </a:solidFill>
          </c:spPr>
          <c:cat>
            <c:strRef>
              <c:f>Feuil5!$A$2:$A$43</c:f>
              <c:strCache>
                <c:ptCount val="42"/>
                <c:pt idx="0">
                  <c:v>ILFOV</c:v>
                </c:pt>
                <c:pt idx="1">
                  <c:v>BUCURESTI</c:v>
                </c:pt>
                <c:pt idx="2">
                  <c:v>GIURGIU</c:v>
                </c:pt>
                <c:pt idx="3">
                  <c:v>SIBIU</c:v>
                </c:pt>
                <c:pt idx="4">
                  <c:v>GORJ</c:v>
                </c:pt>
                <c:pt idx="5">
                  <c:v>TIMIS</c:v>
                </c:pt>
                <c:pt idx="6">
                  <c:v>DOLJ</c:v>
                </c:pt>
                <c:pt idx="7">
                  <c:v>CLUJ</c:v>
                </c:pt>
                <c:pt idx="8">
                  <c:v>OLT</c:v>
                </c:pt>
                <c:pt idx="9">
                  <c:v>TULCEA</c:v>
                </c:pt>
                <c:pt idx="10">
                  <c:v>ARAD</c:v>
                </c:pt>
                <c:pt idx="11">
                  <c:v>ARGES</c:v>
                </c:pt>
                <c:pt idx="12">
                  <c:v>IASI</c:v>
                </c:pt>
                <c:pt idx="13">
                  <c:v>BUZAU</c:v>
                </c:pt>
                <c:pt idx="14">
                  <c:v>MEHEDINTI</c:v>
                </c:pt>
                <c:pt idx="15">
                  <c:v>IALOMITA</c:v>
                </c:pt>
                <c:pt idx="16">
                  <c:v>MURES</c:v>
                </c:pt>
                <c:pt idx="17">
                  <c:v>CONSTANTA</c:v>
                </c:pt>
                <c:pt idx="18">
                  <c:v>CALARASI</c:v>
                </c:pt>
                <c:pt idx="19">
                  <c:v>VILCEA</c:v>
                </c:pt>
                <c:pt idx="20">
                  <c:v>PRAHOVA</c:v>
                </c:pt>
                <c:pt idx="21">
                  <c:v>SATU MARE</c:v>
                </c:pt>
                <c:pt idx="22">
                  <c:v>BOTOSANI</c:v>
                </c:pt>
                <c:pt idx="23">
                  <c:v>ALBA</c:v>
                </c:pt>
                <c:pt idx="24">
                  <c:v>VASLUI</c:v>
                </c:pt>
                <c:pt idx="25">
                  <c:v>BISTRITA</c:v>
                </c:pt>
                <c:pt idx="26">
                  <c:v>TELEORMAN</c:v>
                </c:pt>
                <c:pt idx="27">
                  <c:v>VRANCEA</c:v>
                </c:pt>
                <c:pt idx="28">
                  <c:v>DIMBOVITA</c:v>
                </c:pt>
                <c:pt idx="29">
                  <c:v>BRAILA</c:v>
                </c:pt>
                <c:pt idx="30">
                  <c:v>SALAJ</c:v>
                </c:pt>
                <c:pt idx="31">
                  <c:v>SUCEAVA</c:v>
                </c:pt>
                <c:pt idx="32">
                  <c:v>GALATI</c:v>
                </c:pt>
                <c:pt idx="33">
                  <c:v>COVASNA</c:v>
                </c:pt>
                <c:pt idx="34">
                  <c:v>BRASOV</c:v>
                </c:pt>
                <c:pt idx="35">
                  <c:v>BIHOR</c:v>
                </c:pt>
                <c:pt idx="36">
                  <c:v>BACAU</c:v>
                </c:pt>
                <c:pt idx="37">
                  <c:v>NEAMT</c:v>
                </c:pt>
                <c:pt idx="38">
                  <c:v>CARAS SEVERIN</c:v>
                </c:pt>
                <c:pt idx="39">
                  <c:v>MARAMURES</c:v>
                </c:pt>
                <c:pt idx="40">
                  <c:v>HARGHITA</c:v>
                </c:pt>
                <c:pt idx="41">
                  <c:v>HUNEDOARA</c:v>
                </c:pt>
              </c:strCache>
            </c:strRef>
          </c:cat>
          <c:val>
            <c:numRef>
              <c:f>Feuil5!$C$2:$C$43</c:f>
              <c:numCache>
                <c:formatCode>0.0</c:formatCode>
                <c:ptCount val="42"/>
                <c:pt idx="0">
                  <c:v>562.33676231727122</c:v>
                </c:pt>
                <c:pt idx="1">
                  <c:v>681.62933080208825</c:v>
                </c:pt>
                <c:pt idx="2">
                  <c:v>712.34684333592747</c:v>
                </c:pt>
                <c:pt idx="3">
                  <c:v>751.20838627701528</c:v>
                </c:pt>
                <c:pt idx="4">
                  <c:v>783.25386165211853</c:v>
                </c:pt>
                <c:pt idx="5">
                  <c:v>790.1544771018456</c:v>
                </c:pt>
                <c:pt idx="6">
                  <c:v>807.73640483383679</c:v>
                </c:pt>
                <c:pt idx="7">
                  <c:v>808.64375413086805</c:v>
                </c:pt>
                <c:pt idx="8">
                  <c:v>812.17574257426702</c:v>
                </c:pt>
                <c:pt idx="9">
                  <c:v>821.37652811735938</c:v>
                </c:pt>
                <c:pt idx="10">
                  <c:v>822.11457521434352</c:v>
                </c:pt>
                <c:pt idx="11">
                  <c:v>836.89372693726955</c:v>
                </c:pt>
                <c:pt idx="12">
                  <c:v>839.54157303370778</c:v>
                </c:pt>
                <c:pt idx="13">
                  <c:v>842.64089775561104</c:v>
                </c:pt>
                <c:pt idx="14">
                  <c:v>847.05924170616152</c:v>
                </c:pt>
                <c:pt idx="15">
                  <c:v>855.10994764397901</c:v>
                </c:pt>
                <c:pt idx="16">
                  <c:v>856.13564668769754</c:v>
                </c:pt>
                <c:pt idx="17">
                  <c:v>857.91371681415922</c:v>
                </c:pt>
                <c:pt idx="18">
                  <c:v>868.2515837104072</c:v>
                </c:pt>
                <c:pt idx="19">
                  <c:v>869.51324503311264</c:v>
                </c:pt>
                <c:pt idx="20">
                  <c:v>880.2</c:v>
                </c:pt>
                <c:pt idx="21">
                  <c:v>895.5288725939505</c:v>
                </c:pt>
                <c:pt idx="22">
                  <c:v>896.89296046287348</c:v>
                </c:pt>
                <c:pt idx="23">
                  <c:v>905.46889952153151</c:v>
                </c:pt>
                <c:pt idx="24">
                  <c:v>907.48007590132852</c:v>
                </c:pt>
                <c:pt idx="25">
                  <c:v>908.40622054665403</c:v>
                </c:pt>
                <c:pt idx="26">
                  <c:v>914.15833333333353</c:v>
                </c:pt>
                <c:pt idx="27">
                  <c:v>914.23777564718307</c:v>
                </c:pt>
                <c:pt idx="28">
                  <c:v>921.28608247422801</c:v>
                </c:pt>
                <c:pt idx="29">
                  <c:v>961.00267379679156</c:v>
                </c:pt>
                <c:pt idx="30">
                  <c:v>977.53780718336247</c:v>
                </c:pt>
                <c:pt idx="31">
                  <c:v>981.33300876338842</c:v>
                </c:pt>
                <c:pt idx="32">
                  <c:v>981.87787470261753</c:v>
                </c:pt>
                <c:pt idx="33">
                  <c:v>981.95417789757346</c:v>
                </c:pt>
                <c:pt idx="34">
                  <c:v>999.64658925979802</c:v>
                </c:pt>
                <c:pt idx="35">
                  <c:v>1008.2191011235955</c:v>
                </c:pt>
                <c:pt idx="36">
                  <c:v>1009.2959999999999</c:v>
                </c:pt>
                <c:pt idx="37">
                  <c:v>1020.0448598130829</c:v>
                </c:pt>
                <c:pt idx="38">
                  <c:v>1029.1487826871055</c:v>
                </c:pt>
                <c:pt idx="39">
                  <c:v>1042.3781512605051</c:v>
                </c:pt>
                <c:pt idx="40">
                  <c:v>1071.2111436950147</c:v>
                </c:pt>
                <c:pt idx="41">
                  <c:v>1175.5674769488678</c:v>
                </c:pt>
              </c:numCache>
            </c:numRef>
          </c:val>
        </c:ser>
        <c:gapWidth val="63"/>
        <c:axId val="90609536"/>
        <c:axId val="90611072"/>
      </c:barChart>
      <c:catAx>
        <c:axId val="90609536"/>
        <c:scaling>
          <c:orientation val="minMax"/>
        </c:scaling>
        <c:axPos val="b"/>
        <c:tickLblPos val="nextTo"/>
        <c:txPr>
          <a:bodyPr/>
          <a:lstStyle/>
          <a:p>
            <a:pPr>
              <a:defRPr sz="800"/>
            </a:pPr>
            <a:endParaRPr lang="fr-FR"/>
          </a:p>
        </c:txPr>
        <c:crossAx val="90611072"/>
        <c:crosses val="autoZero"/>
        <c:auto val="1"/>
        <c:lblAlgn val="ctr"/>
        <c:lblOffset val="100"/>
      </c:catAx>
      <c:valAx>
        <c:axId val="90611072"/>
        <c:scaling>
          <c:orientation val="minMax"/>
          <c:max val="1200"/>
          <c:min val="400"/>
        </c:scaling>
        <c:axPos val="l"/>
        <c:majorGridlines/>
        <c:numFmt formatCode="General" sourceLinked="0"/>
        <c:tickLblPos val="nextTo"/>
        <c:crossAx val="90609536"/>
        <c:crosses val="autoZero"/>
        <c:crossBetween val="between"/>
      </c:valAx>
    </c:plotArea>
    <c:legend>
      <c:legendPos val="r"/>
      <c:layout>
        <c:manualLayout>
          <c:xMode val="edge"/>
          <c:yMode val="edge"/>
          <c:x val="9.4024010887528028E-2"/>
          <c:y val="5.7736953978278799E-2"/>
          <c:w val="0.18315243975184944"/>
          <c:h val="6.4046204750722133E-2"/>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86230-B2C0-431A-BB81-96EC7068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15</Pages>
  <Words>6315</Words>
  <Characters>34736</Characters>
  <Application>Microsoft Office Word</Application>
  <DocSecurity>0</DocSecurity>
  <Lines>289</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51</cp:revision>
  <cp:lastPrinted>2012-08-22T06:19:00Z</cp:lastPrinted>
  <dcterms:created xsi:type="dcterms:W3CDTF">2012-08-20T12:24:00Z</dcterms:created>
  <dcterms:modified xsi:type="dcterms:W3CDTF">2012-08-22T13:11:00Z</dcterms:modified>
</cp:coreProperties>
</file>