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C2" w:rsidRPr="002552D7" w:rsidRDefault="00A13B8C" w:rsidP="0039254F">
      <w:pPr>
        <w:jc w:val="center"/>
        <w:rPr>
          <w:sz w:val="32"/>
          <w:szCs w:val="32"/>
        </w:rPr>
      </w:pPr>
      <w:bookmarkStart w:id="0" w:name="_Toc323025557"/>
      <w:r>
        <w:rPr>
          <w:sz w:val="32"/>
          <w:szCs w:val="32"/>
        </w:rPr>
        <w:t>Positive and negative impact of increased</w:t>
      </w:r>
      <w:r w:rsidR="00CA2F99" w:rsidRPr="002552D7">
        <w:rPr>
          <w:sz w:val="32"/>
          <w:szCs w:val="32"/>
        </w:rPr>
        <w:t xml:space="preserve"> tertiary attainment </w:t>
      </w:r>
    </w:p>
    <w:p w:rsidR="001E54C2" w:rsidRPr="002552D7" w:rsidRDefault="001E54C2" w:rsidP="0039254F">
      <w:pPr>
        <w:jc w:val="center"/>
        <w:rPr>
          <w:sz w:val="32"/>
          <w:szCs w:val="32"/>
        </w:rPr>
      </w:pPr>
    </w:p>
    <w:p w:rsidR="001E54C2" w:rsidRPr="002552D7" w:rsidRDefault="001E54C2" w:rsidP="0039254F">
      <w:pPr>
        <w:jc w:val="center"/>
        <w:rPr>
          <w:b/>
        </w:rPr>
      </w:pPr>
      <w:r w:rsidRPr="002552D7">
        <w:rPr>
          <w:b/>
        </w:rPr>
        <w:t>ALENA BUŠÍKOVÁ</w:t>
      </w:r>
    </w:p>
    <w:p w:rsidR="001E54C2" w:rsidRPr="002552D7" w:rsidRDefault="001E54C2" w:rsidP="0039254F">
      <w:pPr>
        <w:jc w:val="center"/>
      </w:pPr>
      <w:proofErr w:type="spellStart"/>
      <w:r w:rsidRPr="002552D7">
        <w:t>Vysoká</w:t>
      </w:r>
      <w:proofErr w:type="spellEnd"/>
      <w:r w:rsidRPr="002552D7">
        <w:t xml:space="preserve"> </w:t>
      </w:r>
      <w:proofErr w:type="spellStart"/>
      <w:r w:rsidRPr="002552D7">
        <w:t>škola</w:t>
      </w:r>
      <w:proofErr w:type="spellEnd"/>
      <w:r w:rsidRPr="002552D7">
        <w:t xml:space="preserve"> </w:t>
      </w:r>
      <w:proofErr w:type="spellStart"/>
      <w:r w:rsidRPr="002552D7">
        <w:t>manažmentu</w:t>
      </w:r>
      <w:proofErr w:type="spellEnd"/>
      <w:r w:rsidRPr="002552D7">
        <w:t xml:space="preserve"> v </w:t>
      </w:r>
      <w:proofErr w:type="spellStart"/>
      <w:r w:rsidRPr="002552D7">
        <w:t>Trenčíne</w:t>
      </w:r>
      <w:proofErr w:type="spellEnd"/>
      <w:r w:rsidRPr="002552D7">
        <w:t>, Bratislava</w:t>
      </w:r>
    </w:p>
    <w:p w:rsidR="001E54C2" w:rsidRPr="002552D7" w:rsidRDefault="001E54C2" w:rsidP="0039254F">
      <w:pPr>
        <w:spacing w:after="360"/>
      </w:pPr>
    </w:p>
    <w:p w:rsidR="00CA2F99" w:rsidRPr="002552D7" w:rsidRDefault="001E54C2" w:rsidP="003C3BC5">
      <w:pPr>
        <w:jc w:val="both"/>
        <w:rPr>
          <w:bCs/>
        </w:rPr>
      </w:pPr>
      <w:r w:rsidRPr="002552D7">
        <w:rPr>
          <w:b/>
        </w:rPr>
        <w:t>Abstract.</w:t>
      </w:r>
      <w:r w:rsidRPr="002552D7">
        <w:t xml:space="preserve"> </w:t>
      </w:r>
      <w:r w:rsidR="00CA2F99" w:rsidRPr="002552D7">
        <w:t xml:space="preserve">The theory of human capital clearly states that the investments into the education </w:t>
      </w:r>
      <w:r w:rsidR="00A345E6" w:rsidRPr="002552D7">
        <w:t>bring many benefits and are worth the cost</w:t>
      </w:r>
      <w:r w:rsidR="00CA2F99" w:rsidRPr="002552D7">
        <w:t xml:space="preserve">. The OECD Education at a Glance analysis provides support for both public and private investing in tertiary education as the net present value is positive for all observed countries and highlights the positive aspects of education in terms of forming the human capital. </w:t>
      </w:r>
      <w:r w:rsidR="007016D7" w:rsidRPr="002552D7">
        <w:t>Considering the benefits of education</w:t>
      </w:r>
      <w:r w:rsidR="00A13B8C">
        <w:t>,</w:t>
      </w:r>
      <w:r w:rsidR="007016D7" w:rsidRPr="002552D7">
        <w:t xml:space="preserve"> a growth in tertiary education should be viewed very positively.</w:t>
      </w:r>
      <w:r w:rsidR="00532572" w:rsidRPr="002552D7">
        <w:t xml:space="preserve"> In this context, t</w:t>
      </w:r>
      <w:r w:rsidR="00CA2F99" w:rsidRPr="002552D7">
        <w:t xml:space="preserve">he European Strategy Europe 2020 </w:t>
      </w:r>
      <w:r w:rsidR="00532572" w:rsidRPr="002552D7">
        <w:t xml:space="preserve">set up one of its main goals for EU27 countries as follows: to increase </w:t>
      </w:r>
      <w:r w:rsidR="00CA2F99" w:rsidRPr="002552D7">
        <w:t xml:space="preserve">the educated population </w:t>
      </w:r>
      <w:r w:rsidR="00532572" w:rsidRPr="002552D7">
        <w:t>so that it reaches</w:t>
      </w:r>
      <w:r w:rsidR="00A13B8C">
        <w:t xml:space="preserve"> 40% (</w:t>
      </w:r>
      <w:r w:rsidR="00A45AFE" w:rsidRPr="002552D7">
        <w:t>tertiary educated people aged 30-34</w:t>
      </w:r>
      <w:r w:rsidR="00A13B8C">
        <w:t>)</w:t>
      </w:r>
      <w:r w:rsidR="00A45AFE" w:rsidRPr="002552D7">
        <w:t>. This article</w:t>
      </w:r>
      <w:r w:rsidR="00532572" w:rsidRPr="002552D7">
        <w:t xml:space="preserve">, on an example of Slovakia, provides an analysis of </w:t>
      </w:r>
      <w:r w:rsidR="002552D7">
        <w:t>both positive and negative</w:t>
      </w:r>
      <w:r w:rsidR="00532572" w:rsidRPr="002552D7">
        <w:t xml:space="preserve"> impact of increased tertiary attainment.</w:t>
      </w:r>
    </w:p>
    <w:p w:rsidR="001E54C2" w:rsidRPr="002552D7" w:rsidRDefault="001E54C2" w:rsidP="0039254F">
      <w:pPr>
        <w:tabs>
          <w:tab w:val="num" w:pos="0"/>
        </w:tabs>
        <w:jc w:val="both"/>
        <w:rPr>
          <w:b/>
          <w:bCs/>
        </w:rPr>
      </w:pPr>
    </w:p>
    <w:p w:rsidR="001E54C2" w:rsidRPr="002552D7" w:rsidRDefault="001E54C2" w:rsidP="0039254F">
      <w:pPr>
        <w:tabs>
          <w:tab w:val="num" w:pos="0"/>
        </w:tabs>
        <w:jc w:val="both"/>
        <w:rPr>
          <w:bCs/>
        </w:rPr>
      </w:pPr>
      <w:r w:rsidRPr="002552D7">
        <w:rPr>
          <w:b/>
          <w:bCs/>
        </w:rPr>
        <w:t xml:space="preserve">Key words: </w:t>
      </w:r>
      <w:r w:rsidRPr="002552D7">
        <w:rPr>
          <w:bCs/>
        </w:rPr>
        <w:t xml:space="preserve">human capital, </w:t>
      </w:r>
      <w:r w:rsidR="00CA2F99" w:rsidRPr="002552D7">
        <w:rPr>
          <w:bCs/>
        </w:rPr>
        <w:t xml:space="preserve">higher </w:t>
      </w:r>
      <w:r w:rsidRPr="002552D7">
        <w:rPr>
          <w:bCs/>
        </w:rPr>
        <w:t>education</w:t>
      </w:r>
      <w:r w:rsidR="00CA2F99" w:rsidRPr="002552D7">
        <w:rPr>
          <w:bCs/>
        </w:rPr>
        <w:t>, Europe 2020</w:t>
      </w:r>
      <w:r w:rsidR="003C3BC5" w:rsidRPr="002552D7">
        <w:rPr>
          <w:bCs/>
        </w:rPr>
        <w:t>, Slovak higher education</w:t>
      </w:r>
    </w:p>
    <w:p w:rsidR="001E54C2" w:rsidRPr="00C211AF" w:rsidRDefault="001E54C2" w:rsidP="0039254F">
      <w:pPr>
        <w:pStyle w:val="Abstract"/>
        <w:rPr>
          <w:lang w:val="en-US"/>
        </w:rPr>
      </w:pPr>
    </w:p>
    <w:p w:rsidR="001E54C2" w:rsidRPr="00C211AF" w:rsidRDefault="001E54C2" w:rsidP="0039254F">
      <w:pPr>
        <w:pStyle w:val="Abstract"/>
        <w:rPr>
          <w:lang w:val="en-US"/>
        </w:rPr>
      </w:pPr>
    </w:p>
    <w:p w:rsidR="001E54C2" w:rsidRPr="00C211AF" w:rsidRDefault="001E54C2" w:rsidP="0039254F">
      <w:pPr>
        <w:pStyle w:val="Abstract"/>
        <w:rPr>
          <w:lang w:val="en-US"/>
        </w:rPr>
      </w:pPr>
    </w:p>
    <w:p w:rsidR="001E54C2" w:rsidRPr="00C211AF" w:rsidRDefault="001E54C2" w:rsidP="0039254F">
      <w:pPr>
        <w:pStyle w:val="Abstract"/>
        <w:rPr>
          <w:lang w:val="en-US"/>
        </w:rPr>
      </w:pPr>
      <w:r w:rsidRPr="00C211AF">
        <w:rPr>
          <w:lang w:val="en-US"/>
        </w:rPr>
        <w:t xml:space="preserve">Introduction </w:t>
      </w:r>
    </w:p>
    <w:p w:rsidR="00CA2F99" w:rsidRPr="00C211AF" w:rsidRDefault="00CA2F99" w:rsidP="0039254F">
      <w:pPr>
        <w:pStyle w:val="Abstract"/>
        <w:rPr>
          <w:lang w:val="en-US"/>
        </w:rPr>
      </w:pPr>
    </w:p>
    <w:bookmarkEnd w:id="0"/>
    <w:p w:rsidR="00A14597" w:rsidRPr="00C211AF" w:rsidRDefault="00A14597" w:rsidP="0039254F">
      <w:pPr>
        <w:autoSpaceDE w:val="0"/>
        <w:autoSpaceDN w:val="0"/>
        <w:adjustRightInd w:val="0"/>
        <w:ind w:firstLine="709"/>
        <w:jc w:val="both"/>
      </w:pPr>
      <w:r w:rsidRPr="00C211AF">
        <w:rPr>
          <w:rFonts w:eastAsia="Calibri"/>
        </w:rPr>
        <w:t xml:space="preserve">The concept of the theory of human capital </w:t>
      </w:r>
      <w:r w:rsidRPr="00C211AF">
        <w:t xml:space="preserve">goes back to Adam Smith, who in his </w:t>
      </w:r>
      <w:r w:rsidRPr="00C211AF">
        <w:rPr>
          <w:i/>
        </w:rPr>
        <w:t>Wealth of Nations</w:t>
      </w:r>
      <w:r w:rsidRPr="00C211AF">
        <w:t xml:space="preserve"> (1776), mentions that education makes people more sophisticated and progressive</w:t>
      </w:r>
      <w:r w:rsidR="003C3BC5" w:rsidRPr="00C211AF">
        <w:t xml:space="preserve">. </w:t>
      </w:r>
      <w:r w:rsidRPr="00C211AF">
        <w:rPr>
          <w:rFonts w:eastAsia="Calibri"/>
        </w:rPr>
        <w:t xml:space="preserve">More formally, the theory of human capital was </w:t>
      </w:r>
      <w:r w:rsidRPr="00C211AF">
        <w:t>introduced in 196</w:t>
      </w:r>
      <w:r w:rsidR="00A13B8C">
        <w:t xml:space="preserve">0 by economist Theodore Schultz and </w:t>
      </w:r>
      <w:r w:rsidRPr="00C211AF">
        <w:t xml:space="preserve">further developed by other economists, most notably Gary Becker, the scholar of Chicago School of </w:t>
      </w:r>
      <w:proofErr w:type="gramStart"/>
      <w:r w:rsidRPr="00C211AF">
        <w:t>Economics  and</w:t>
      </w:r>
      <w:proofErr w:type="gramEnd"/>
      <w:r w:rsidRPr="00C211AF">
        <w:t xml:space="preserve"> the author of the book, </w:t>
      </w:r>
      <w:r w:rsidRPr="00C211AF">
        <w:rPr>
          <w:i/>
        </w:rPr>
        <w:t xml:space="preserve">Human Capital </w:t>
      </w:r>
      <w:r w:rsidRPr="00C211AF">
        <w:t>(</w:t>
      </w:r>
      <w:r w:rsidR="00A13B8C">
        <w:t>1963)</w:t>
      </w:r>
      <w:r w:rsidRPr="00C211AF">
        <w:t>.</w:t>
      </w:r>
      <w:r w:rsidR="00AE10C6" w:rsidRPr="00C211AF">
        <w:t xml:space="preserve"> </w:t>
      </w:r>
      <w:r w:rsidRPr="00C211AF">
        <w:rPr>
          <w:bCs/>
        </w:rPr>
        <w:t xml:space="preserve">Another representative of the Chicago School of Economics, Jacob Mincer, </w:t>
      </w:r>
      <w:r w:rsidRPr="00C211AF">
        <w:t xml:space="preserve">helped to develop the empirical foundations of </w:t>
      </w:r>
      <w:r w:rsidR="00AE10C6" w:rsidRPr="00C211AF">
        <w:t>human capital</w:t>
      </w:r>
      <w:r w:rsidRPr="00C211AF">
        <w:t xml:space="preserve"> theory. Other well-known economists, such as Lucas, </w:t>
      </w:r>
      <w:proofErr w:type="spellStart"/>
      <w:r w:rsidRPr="00C211AF">
        <w:t>Romer</w:t>
      </w:r>
      <w:proofErr w:type="spellEnd"/>
      <w:r w:rsidRPr="00C211AF">
        <w:t xml:space="preserve">, </w:t>
      </w:r>
      <w:proofErr w:type="spellStart"/>
      <w:r w:rsidRPr="00C211AF">
        <w:t>Mankiw</w:t>
      </w:r>
      <w:proofErr w:type="spellEnd"/>
      <w:r w:rsidRPr="00C211AF">
        <w:t xml:space="preserve">, Weil, Denison and </w:t>
      </w:r>
      <w:proofErr w:type="spellStart"/>
      <w:r w:rsidRPr="00C211AF">
        <w:t>Sala</w:t>
      </w:r>
      <w:proofErr w:type="spellEnd"/>
      <w:r w:rsidRPr="00C211AF">
        <w:t>-</w:t>
      </w:r>
      <w:proofErr w:type="spellStart"/>
      <w:r w:rsidRPr="00C211AF">
        <w:t>i</w:t>
      </w:r>
      <w:proofErr w:type="spellEnd"/>
      <w:r w:rsidRPr="00C211AF">
        <w:t>-Martin, have examined the impact of human capital and education on the economic growth of a country (</w:t>
      </w:r>
      <w:proofErr w:type="spellStart"/>
      <w:r w:rsidRPr="00C211AF">
        <w:t>Lisý</w:t>
      </w:r>
      <w:proofErr w:type="spellEnd"/>
      <w:r w:rsidRPr="00C211AF">
        <w:t>, 2003</w:t>
      </w:r>
      <w:r w:rsidR="00AE10C6" w:rsidRPr="00C211AF">
        <w:t>)</w:t>
      </w:r>
      <w:r w:rsidRPr="00C211AF">
        <w:t xml:space="preserve">. </w:t>
      </w:r>
    </w:p>
    <w:p w:rsidR="00A14597" w:rsidRPr="00C211AF" w:rsidRDefault="00A14597" w:rsidP="0039254F">
      <w:pPr>
        <w:autoSpaceDE w:val="0"/>
        <w:autoSpaceDN w:val="0"/>
        <w:adjustRightInd w:val="0"/>
        <w:ind w:firstLine="709"/>
        <w:jc w:val="both"/>
      </w:pPr>
      <w:r w:rsidRPr="00C211AF">
        <w:t xml:space="preserve">Many other authors contributed to the development of the theory of human capital; however, the ones mentioned above are certainly the most notable ones. In general, there is no doubt that education provides utility; otherwise, there would not be a need for it. In the short term, it most likely provides the joy of learning; in the long run, it should increase one’s productivity for years to come and, most likely, increase a person’s earnings for life. In this sense, education can be viewed as an investment because similar to investments in properties or stocks, the investor hopes for a return exceeding the initial cost. Families need to consider the private costs and benefits when choosing how to allocate scarce family resources. From a public policy perspective, governments also need to consider the social costs and benefits of education, vis-à-vis the many alternative uses of the same public funds. </w:t>
      </w:r>
    </w:p>
    <w:p w:rsidR="003C3BC5" w:rsidRPr="00C211AF" w:rsidRDefault="003C3BC5" w:rsidP="0039254F">
      <w:pPr>
        <w:autoSpaceDE w:val="0"/>
        <w:autoSpaceDN w:val="0"/>
        <w:adjustRightInd w:val="0"/>
        <w:ind w:firstLine="709"/>
        <w:jc w:val="both"/>
      </w:pPr>
    </w:p>
    <w:p w:rsidR="003C3BC5" w:rsidRPr="00C211AF" w:rsidRDefault="003C3BC5" w:rsidP="0039254F">
      <w:pPr>
        <w:autoSpaceDE w:val="0"/>
        <w:autoSpaceDN w:val="0"/>
        <w:adjustRightInd w:val="0"/>
        <w:ind w:firstLine="709"/>
        <w:jc w:val="both"/>
      </w:pPr>
    </w:p>
    <w:p w:rsidR="003C3BC5" w:rsidRPr="00C211AF" w:rsidRDefault="003C3BC5" w:rsidP="0039254F">
      <w:pPr>
        <w:autoSpaceDE w:val="0"/>
        <w:autoSpaceDN w:val="0"/>
        <w:adjustRightInd w:val="0"/>
        <w:ind w:firstLine="709"/>
        <w:jc w:val="both"/>
        <w:rPr>
          <w:color w:val="000000"/>
          <w:lang w:eastAsia="en-US"/>
        </w:rPr>
      </w:pPr>
    </w:p>
    <w:p w:rsidR="00A14597" w:rsidRPr="00C211AF" w:rsidRDefault="00A14597" w:rsidP="0039254F">
      <w:pPr>
        <w:pStyle w:val="Heading3"/>
        <w:jc w:val="both"/>
        <w:rPr>
          <w:sz w:val="24"/>
          <w:szCs w:val="24"/>
        </w:rPr>
      </w:pPr>
      <w:bookmarkStart w:id="1" w:name="_Toc323025558"/>
      <w:r w:rsidRPr="00C211AF">
        <w:rPr>
          <w:sz w:val="24"/>
          <w:szCs w:val="24"/>
        </w:rPr>
        <w:t>Benefits of education</w:t>
      </w:r>
      <w:bookmarkEnd w:id="1"/>
      <w:r w:rsidRPr="00C211AF">
        <w:rPr>
          <w:sz w:val="24"/>
          <w:szCs w:val="24"/>
        </w:rPr>
        <w:t xml:space="preserve"> </w:t>
      </w:r>
    </w:p>
    <w:p w:rsidR="00A14597" w:rsidRPr="00C211AF" w:rsidRDefault="00A14597" w:rsidP="0039254F">
      <w:pPr>
        <w:spacing w:after="120"/>
        <w:ind w:firstLine="709"/>
        <w:jc w:val="both"/>
      </w:pPr>
      <w:r w:rsidRPr="00C211AF">
        <w:lastRenderedPageBreak/>
        <w:t xml:space="preserve">The benefits of investment in human capital are limitless; however, </w:t>
      </w:r>
      <w:r w:rsidR="00A13B8C">
        <w:t>the</w:t>
      </w:r>
      <w:r w:rsidRPr="00C211AF">
        <w:t xml:space="preserve"> theory of human capital mostly reflects on these benefits of education (</w:t>
      </w:r>
      <w:proofErr w:type="spellStart"/>
      <w:r w:rsidRPr="00C211AF">
        <w:t>Čaplánová</w:t>
      </w:r>
      <w:proofErr w:type="spellEnd"/>
      <w:r w:rsidRPr="00C211AF">
        <w:t>, 1999):</w:t>
      </w:r>
      <w:r w:rsidR="00BD0F6A" w:rsidRPr="00C211AF">
        <w:t xml:space="preserve"> t</w:t>
      </w:r>
      <w:r w:rsidRPr="00C211AF">
        <w:t>he average income of an educated person is higher than the average incom</w:t>
      </w:r>
      <w:r w:rsidR="00BD0F6A" w:rsidRPr="00C211AF">
        <w:t>e of a less educated individual, t</w:t>
      </w:r>
      <w:r w:rsidRPr="00C211AF">
        <w:t xml:space="preserve">he chance of becoming unemployed is lower with </w:t>
      </w:r>
      <w:r w:rsidR="00BD0F6A" w:rsidRPr="00C211AF">
        <w:t>a higher</w:t>
      </w:r>
      <w:r w:rsidRPr="00C211AF">
        <w:t xml:space="preserve"> level of education</w:t>
      </w:r>
      <w:r w:rsidR="00BD0F6A" w:rsidRPr="00C211AF">
        <w:t>, t</w:t>
      </w:r>
      <w:r w:rsidRPr="00C211AF">
        <w:t>he crime rate diminishes with an</w:t>
      </w:r>
      <w:r w:rsidR="00BD0F6A" w:rsidRPr="00C211AF">
        <w:t xml:space="preserve"> increased level of education and the f</w:t>
      </w:r>
      <w:r w:rsidRPr="00C211AF">
        <w:t>amily planning is more coordinated with a higher level of education</w:t>
      </w:r>
      <w:r w:rsidR="00BD0F6A" w:rsidRPr="00C211AF">
        <w:t>. On the national level, the theory of human capital often states that t</w:t>
      </w:r>
      <w:r w:rsidRPr="00C211AF">
        <w:t>he productivity of an educated individual should be higher and subsequently the higher the productivity, the higher the GDP of the economy</w:t>
      </w:r>
      <w:r w:rsidR="00BD0F6A" w:rsidRPr="00C211AF">
        <w:t xml:space="preserve">. </w:t>
      </w:r>
      <w:r w:rsidRPr="00C211AF">
        <w:t xml:space="preserve">Even though it is difficult to measure the relationship between education and productivity, the positive relationship is supported by empirical analysis and can also be presumed by the fact that employers generally pay a higher wage to an educated person. If the increased productivity were not there, the additional costs provided by the employers would be irrational. </w:t>
      </w:r>
    </w:p>
    <w:p w:rsidR="00A14597" w:rsidRPr="00C211AF" w:rsidRDefault="00A14597" w:rsidP="00EB404E">
      <w:pPr>
        <w:spacing w:before="120" w:after="100" w:afterAutospacing="1"/>
        <w:ind w:firstLine="709"/>
        <w:jc w:val="both"/>
        <w:rPr>
          <w:rFonts w:eastAsia="Calibri"/>
        </w:rPr>
      </w:pPr>
      <w:proofErr w:type="spellStart"/>
      <w:r w:rsidRPr="00C211AF">
        <w:t>Faridi</w:t>
      </w:r>
      <w:proofErr w:type="spellEnd"/>
      <w:r w:rsidRPr="00C211AF">
        <w:t xml:space="preserve">, Malik and </w:t>
      </w:r>
      <w:proofErr w:type="spellStart"/>
      <w:r w:rsidRPr="00C211AF">
        <w:t>Rao</w:t>
      </w:r>
      <w:proofErr w:type="spellEnd"/>
      <w:r w:rsidRPr="00C211AF">
        <w:t xml:space="preserve"> (2010) poin</w:t>
      </w:r>
      <w:r w:rsidRPr="00C211AF">
        <w:rPr>
          <w:lang w:eastAsia="sk-SK"/>
        </w:rPr>
        <w:t>t out that education combined with health improve human capital, raise the productive capacity and are considered the core components of growth and development</w:t>
      </w:r>
      <w:r w:rsidRPr="00C211AF">
        <w:rPr>
          <w:rStyle w:val="main1"/>
        </w:rPr>
        <w:t xml:space="preserve">. </w:t>
      </w:r>
      <w:r w:rsidRPr="00C211AF">
        <w:rPr>
          <w:rFonts w:eastAsia="Calibri"/>
        </w:rPr>
        <w:t xml:space="preserve">According to </w:t>
      </w:r>
      <w:proofErr w:type="spellStart"/>
      <w:r w:rsidRPr="00C211AF">
        <w:rPr>
          <w:rFonts w:eastAsia="Calibri"/>
        </w:rPr>
        <w:t>Romer</w:t>
      </w:r>
      <w:proofErr w:type="spellEnd"/>
      <w:r w:rsidRPr="00C211AF">
        <w:rPr>
          <w:rFonts w:eastAsia="Calibri"/>
        </w:rPr>
        <w:t xml:space="preserve"> (1986), “The more people you have prospecting, the more you will be stumbling on rich veins of gold”. Those veins of gold are produced in US graduate schools, especially in PhD science and engineering programs. </w:t>
      </w:r>
    </w:p>
    <w:p w:rsidR="00A14597" w:rsidRPr="00C211AF" w:rsidRDefault="00EB404E" w:rsidP="00EB404E">
      <w:pPr>
        <w:spacing w:before="120" w:after="100" w:afterAutospacing="1"/>
        <w:ind w:firstLine="709"/>
        <w:jc w:val="both"/>
      </w:pPr>
      <w:r w:rsidRPr="00C211AF">
        <w:rPr>
          <w:rFonts w:eastAsia="Calibri"/>
        </w:rPr>
        <w:t xml:space="preserve">All these statements provide a support for the investments in the human capital. </w:t>
      </w:r>
      <w:r w:rsidR="00A14597" w:rsidRPr="00C211AF">
        <w:t>Besides the benefits of education that have already been mentioned, the literature states several other ones: the attitude toward environmental protection is greater when people are more educated; better educated people tend to cope with daily life situations more easily (e.g., dealing with administration); with better educated people, there is a better textbook market; and the children of more educated parents tend to be more educated themselves. Also, countries with higher educated people tend to be more democratic and have fairer elections (</w:t>
      </w:r>
      <w:proofErr w:type="spellStart"/>
      <w:r w:rsidR="00A14597" w:rsidRPr="00C211AF">
        <w:t>Čaplánová</w:t>
      </w:r>
      <w:proofErr w:type="spellEnd"/>
      <w:r w:rsidR="00A14597" w:rsidRPr="00C211AF">
        <w:t>, 1999).</w:t>
      </w:r>
    </w:p>
    <w:p w:rsidR="00A14597" w:rsidRPr="00C211AF" w:rsidRDefault="00A14597" w:rsidP="0039254F">
      <w:pPr>
        <w:pStyle w:val="Heading3"/>
        <w:jc w:val="both"/>
        <w:rPr>
          <w:sz w:val="24"/>
          <w:szCs w:val="24"/>
        </w:rPr>
      </w:pPr>
      <w:bookmarkStart w:id="2" w:name="_Toc323025559"/>
      <w:r w:rsidRPr="00C211AF">
        <w:rPr>
          <w:sz w:val="24"/>
          <w:szCs w:val="24"/>
        </w:rPr>
        <w:t>Cost of education</w:t>
      </w:r>
      <w:bookmarkEnd w:id="2"/>
      <w:r w:rsidRPr="00C211AF">
        <w:rPr>
          <w:sz w:val="24"/>
          <w:szCs w:val="24"/>
        </w:rPr>
        <w:t xml:space="preserve"> </w:t>
      </w:r>
    </w:p>
    <w:p w:rsidR="00A14597" w:rsidRPr="00C211AF" w:rsidRDefault="00A14597" w:rsidP="0039254F">
      <w:pPr>
        <w:autoSpaceDE w:val="0"/>
        <w:autoSpaceDN w:val="0"/>
        <w:adjustRightInd w:val="0"/>
        <w:ind w:firstLine="709"/>
        <w:jc w:val="both"/>
      </w:pPr>
      <w:r w:rsidRPr="00C211AF">
        <w:t xml:space="preserve">The theory of human capital distinguishes between the private cost and the public cost in addition to direct costs and indirect costs of education. </w:t>
      </w:r>
      <w:r w:rsidRPr="00C211AF">
        <w:rPr>
          <w:lang w:eastAsia="sk-SK"/>
        </w:rPr>
        <w:t xml:space="preserve">From the private individual‘s perspective, the direct costs are the fees families actually pay, plus other out-of-pocket expenses for </w:t>
      </w:r>
      <w:r w:rsidRPr="00C211AF">
        <w:t>textbooks, travel and accommodation. The public cost is the payment for buildings, electricity, faculty, librarians, and administrators used in the public education process. From both the private and public perspectives, the indirect costs are the opportunity costs, the time students spend studying and their foregone earnings.</w:t>
      </w:r>
      <w:r w:rsidRPr="00C211AF">
        <w:rPr>
          <w:lang w:eastAsia="sk-SK"/>
        </w:rPr>
        <w:t xml:space="preserve"> Chart 1 d</w:t>
      </w:r>
      <w:r w:rsidRPr="00C211AF">
        <w:t xml:space="preserve">epicts the distribution of public and private expenditure on the tertiary education for various countries. </w:t>
      </w:r>
    </w:p>
    <w:p w:rsidR="00A14597" w:rsidRPr="00C211AF" w:rsidRDefault="00A14597" w:rsidP="0039254F">
      <w:pPr>
        <w:autoSpaceDE w:val="0"/>
        <w:autoSpaceDN w:val="0"/>
        <w:adjustRightInd w:val="0"/>
        <w:ind w:firstLine="709"/>
        <w:jc w:val="both"/>
      </w:pPr>
    </w:p>
    <w:p w:rsidR="00A14597" w:rsidRPr="00C211AF" w:rsidRDefault="00A14597" w:rsidP="0039254F">
      <w:pPr>
        <w:pStyle w:val="NormalWeb"/>
        <w:spacing w:before="0" w:beforeAutospacing="0" w:after="0" w:afterAutospacing="0"/>
        <w:jc w:val="both"/>
        <w:rPr>
          <w:b/>
          <w:lang w:val="en-US"/>
        </w:rPr>
      </w:pPr>
      <w:r w:rsidRPr="00C211AF">
        <w:rPr>
          <w:b/>
          <w:lang w:val="en-US"/>
        </w:rPr>
        <w:lastRenderedPageBreak/>
        <w:t>Chart 1: Distribution of public and private expenditure on educational institutions (2007)</w:t>
      </w:r>
      <w:r w:rsidRPr="00C211AF">
        <w:rPr>
          <w:lang w:val="en-US"/>
        </w:rPr>
        <w:t xml:space="preserve"> </w:t>
      </w:r>
      <w:r w:rsidRPr="00C211AF">
        <w:rPr>
          <w:lang w:val="en-US" w:eastAsia="en-US"/>
        </w:rPr>
        <w:drawing>
          <wp:inline distT="0" distB="0" distL="0" distR="0" wp14:anchorId="78D9EABF" wp14:editId="5B0F8C62">
            <wp:extent cx="7694439" cy="3291840"/>
            <wp:effectExtent l="0" t="0" r="0" b="381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cstate="print"/>
                    <a:srcRect b="5459"/>
                    <a:stretch>
                      <a:fillRect/>
                    </a:stretch>
                  </pic:blipFill>
                  <pic:spPr bwMode="auto">
                    <a:xfrm>
                      <a:off x="0" y="0"/>
                      <a:ext cx="7696863" cy="3292877"/>
                    </a:xfrm>
                    <a:prstGeom prst="rect">
                      <a:avLst/>
                    </a:prstGeom>
                    <a:noFill/>
                    <a:ln w="9525">
                      <a:noFill/>
                      <a:miter lim="800000"/>
                      <a:headEnd/>
                      <a:tailEnd/>
                    </a:ln>
                  </pic:spPr>
                </pic:pic>
              </a:graphicData>
            </a:graphic>
          </wp:inline>
        </w:drawing>
      </w:r>
    </w:p>
    <w:p w:rsidR="00A14597" w:rsidRPr="00C211AF" w:rsidRDefault="00A14597" w:rsidP="0039254F">
      <w:pPr>
        <w:pStyle w:val="NormalWeb"/>
        <w:spacing w:before="0" w:beforeAutospacing="0" w:after="120" w:afterAutospacing="0"/>
        <w:jc w:val="both"/>
        <w:rPr>
          <w:lang w:val="en-US"/>
        </w:rPr>
      </w:pPr>
      <w:r w:rsidRPr="00C211AF">
        <w:rPr>
          <w:lang w:val="en-US"/>
        </w:rPr>
        <w:t>Source: Education at Glance, OECD 2010</w:t>
      </w:r>
    </w:p>
    <w:p w:rsidR="00A14597" w:rsidRPr="00C211AF" w:rsidRDefault="00A14597" w:rsidP="0039254F">
      <w:pPr>
        <w:pStyle w:val="NormalWeb"/>
        <w:ind w:firstLine="709"/>
        <w:jc w:val="both"/>
        <w:rPr>
          <w:lang w:val="en-US"/>
        </w:rPr>
      </w:pPr>
      <w:r w:rsidRPr="00C211AF">
        <w:rPr>
          <w:lang w:val="en-US"/>
        </w:rPr>
        <w:t xml:space="preserve">In most countries of the EU, education is predominantly publicly financed. As we can see from the chart, there are several countries where public sources finance above 90% of tertiary education: Belgium, Iceland, Denmark and Finland. On the other hand, there are countries where the public expenditure is below 50%: Chile, Korea, the United Kingdom, Australia, Japan and the United States. The proportion of private funding in countries such as Australia, the United Kingdom and the United States may be affected by the presence of international students, who are usually excluded from receiving public funds. </w:t>
      </w:r>
    </w:p>
    <w:p w:rsidR="00A14597" w:rsidRPr="00C211AF" w:rsidRDefault="00A14597" w:rsidP="0039254F">
      <w:pPr>
        <w:pStyle w:val="NormalWeb"/>
        <w:ind w:firstLine="709"/>
        <w:jc w:val="both"/>
        <w:rPr>
          <w:lang w:val="en-US"/>
        </w:rPr>
      </w:pPr>
      <w:r w:rsidRPr="00C211AF">
        <w:rPr>
          <w:lang w:val="en-US"/>
        </w:rPr>
        <w:t xml:space="preserve">In the previous sections of this paper, we have described the most common benefits of education and its costs. Without a proper cost-benefit analysis, our main goal </w:t>
      </w:r>
      <w:r w:rsidR="00EB404E" w:rsidRPr="00C211AF">
        <w:rPr>
          <w:lang w:val="en-US"/>
        </w:rPr>
        <w:t>– to analyze an impact of the increased tertiary attainment – w</w:t>
      </w:r>
      <w:r w:rsidRPr="00C211AF">
        <w:rPr>
          <w:lang w:val="en-US"/>
        </w:rPr>
        <w:t xml:space="preserve">ould be lacking a solid theoretical background. For this reason, the next section of the paper focuses on the return on education. </w:t>
      </w:r>
    </w:p>
    <w:p w:rsidR="00A14597" w:rsidRPr="00C211AF" w:rsidRDefault="00A14597" w:rsidP="0039254F">
      <w:pPr>
        <w:pStyle w:val="Heading3"/>
        <w:jc w:val="both"/>
        <w:rPr>
          <w:sz w:val="24"/>
          <w:szCs w:val="24"/>
        </w:rPr>
      </w:pPr>
      <w:bookmarkStart w:id="3" w:name="_Toc283761150"/>
      <w:bookmarkStart w:id="4" w:name="_Toc283761213"/>
      <w:bookmarkStart w:id="5" w:name="_Toc323025560"/>
      <w:r w:rsidRPr="00C211AF">
        <w:rPr>
          <w:sz w:val="24"/>
          <w:szCs w:val="24"/>
        </w:rPr>
        <w:t>Rate of return on investment in education</w:t>
      </w:r>
      <w:bookmarkEnd w:id="3"/>
      <w:bookmarkEnd w:id="4"/>
      <w:bookmarkEnd w:id="5"/>
      <w:r w:rsidRPr="00C211AF">
        <w:rPr>
          <w:sz w:val="24"/>
          <w:szCs w:val="24"/>
        </w:rPr>
        <w:t xml:space="preserve"> </w:t>
      </w:r>
    </w:p>
    <w:p w:rsidR="00A14597" w:rsidRPr="00C211AF" w:rsidRDefault="00A14597" w:rsidP="00DA3A6E">
      <w:pPr>
        <w:pStyle w:val="NormalWeb"/>
        <w:ind w:firstLine="709"/>
        <w:jc w:val="both"/>
        <w:rPr>
          <w:lang w:val="en-US"/>
        </w:rPr>
      </w:pPr>
      <w:r w:rsidRPr="00C211AF">
        <w:rPr>
          <w:lang w:val="en-US"/>
        </w:rPr>
        <w:t>Once the outlined benefits and costs of education are measured and discounted at an appropriate rate of interest, the essential elements of a cost-benefit analysis are available. There are three basic ways of presenting the cost-benefit analysis: first by means of a benefit-cost ratio, second by calculation of the net present value, and third by calculating the internal rate of return on the investment (</w:t>
      </w:r>
      <w:proofErr w:type="spellStart"/>
      <w:r w:rsidRPr="00C211AF">
        <w:rPr>
          <w:lang w:val="en-US"/>
        </w:rPr>
        <w:t>Woodhall</w:t>
      </w:r>
      <w:proofErr w:type="spellEnd"/>
      <w:r w:rsidRPr="00C211AF">
        <w:rPr>
          <w:lang w:val="en-US"/>
        </w:rPr>
        <w:t xml:space="preserve">, 2004). Several economists have tried to measure the relationship between the inputs and outputs in education. At an individual level, Mincer’s approach is considered to be the cornerstone of the literature on the relationship between earnings and human capital investments. The classical Mincer approach links the logarithm of average earnings to </w:t>
      </w:r>
      <w:proofErr w:type="gramStart"/>
      <w:r w:rsidRPr="00C211AF">
        <w:rPr>
          <w:lang w:val="en-US"/>
        </w:rPr>
        <w:t>completed</w:t>
      </w:r>
      <w:proofErr w:type="gramEnd"/>
      <w:r w:rsidRPr="00C211AF">
        <w:rPr>
          <w:lang w:val="en-US"/>
        </w:rPr>
        <w:t xml:space="preserve"> years of schooling and years of experience as follows:</w:t>
      </w:r>
    </w:p>
    <w:p w:rsidR="00A14597" w:rsidRPr="00C211AF" w:rsidRDefault="00A14597" w:rsidP="0039254F">
      <w:pPr>
        <w:autoSpaceDE w:val="0"/>
        <w:autoSpaceDN w:val="0"/>
        <w:adjustRightInd w:val="0"/>
        <w:jc w:val="both"/>
        <w:rPr>
          <w:lang w:eastAsia="sk-SK"/>
        </w:rPr>
      </w:pPr>
      <w:proofErr w:type="spellStart"/>
      <w:proofErr w:type="gramStart"/>
      <w:r w:rsidRPr="00C211AF">
        <w:rPr>
          <w:lang w:eastAsia="sk-SK"/>
        </w:rPr>
        <w:lastRenderedPageBreak/>
        <w:t>ln</w:t>
      </w:r>
      <w:r w:rsidRPr="00C211AF">
        <w:rPr>
          <w:bCs/>
          <w:i/>
          <w:iCs/>
          <w:lang w:eastAsia="sk-SK"/>
        </w:rPr>
        <w:t>w</w:t>
      </w:r>
      <w:proofErr w:type="spellEnd"/>
      <w:r w:rsidRPr="00C211AF">
        <w:rPr>
          <w:lang w:eastAsia="sk-SK"/>
        </w:rPr>
        <w:t>(</w:t>
      </w:r>
      <w:proofErr w:type="gramEnd"/>
      <w:r w:rsidRPr="00C211AF">
        <w:rPr>
          <w:i/>
          <w:iCs/>
          <w:lang w:eastAsia="sk-SK"/>
        </w:rPr>
        <w:t>s</w:t>
      </w:r>
      <w:r w:rsidRPr="00C211AF">
        <w:rPr>
          <w:rFonts w:eastAsia="RMTMI"/>
          <w:i/>
          <w:iCs/>
          <w:lang w:eastAsia="sk-SK"/>
        </w:rPr>
        <w:t xml:space="preserve">, </w:t>
      </w:r>
      <w:r w:rsidRPr="00C211AF">
        <w:rPr>
          <w:i/>
          <w:iCs/>
          <w:lang w:eastAsia="sk-SK"/>
        </w:rPr>
        <w:t>x</w:t>
      </w:r>
      <w:r w:rsidRPr="00C211AF">
        <w:rPr>
          <w:lang w:eastAsia="sk-SK"/>
        </w:rPr>
        <w:t xml:space="preserve">) </w:t>
      </w:r>
      <w:r w:rsidRPr="00C211AF">
        <w:rPr>
          <w:rFonts w:eastAsia="MTSY"/>
          <w:lang w:eastAsia="sk-SK"/>
        </w:rPr>
        <w:t xml:space="preserve">= </w:t>
      </w:r>
      <w:r w:rsidRPr="00C211AF">
        <w:rPr>
          <w:rFonts w:eastAsia="RMTMI"/>
          <w:i/>
          <w:iCs/>
          <w:lang w:eastAsia="sk-SK"/>
        </w:rPr>
        <w:t>α</w:t>
      </w:r>
      <w:r w:rsidRPr="00C211AF">
        <w:rPr>
          <w:lang w:eastAsia="sk-SK"/>
        </w:rPr>
        <w:t xml:space="preserve">0 </w:t>
      </w:r>
      <w:r w:rsidRPr="00C211AF">
        <w:rPr>
          <w:rFonts w:eastAsia="MTSY"/>
          <w:lang w:eastAsia="sk-SK"/>
        </w:rPr>
        <w:t xml:space="preserve">+ </w:t>
      </w:r>
      <w:proofErr w:type="spellStart"/>
      <w:r w:rsidRPr="00C211AF">
        <w:rPr>
          <w:rFonts w:eastAsia="RMTMI"/>
          <w:i/>
          <w:iCs/>
          <w:lang w:eastAsia="sk-SK"/>
        </w:rPr>
        <w:t>ρ</w:t>
      </w:r>
      <w:r w:rsidRPr="00C211AF">
        <w:rPr>
          <w:i/>
          <w:iCs/>
          <w:lang w:eastAsia="sk-SK"/>
        </w:rPr>
        <w:t>s</w:t>
      </w:r>
      <w:proofErr w:type="spellEnd"/>
      <w:r w:rsidRPr="00C211AF">
        <w:rPr>
          <w:i/>
          <w:iCs/>
          <w:lang w:eastAsia="sk-SK"/>
        </w:rPr>
        <w:t xml:space="preserve"> </w:t>
      </w:r>
      <w:r w:rsidRPr="00C211AF">
        <w:rPr>
          <w:bCs/>
          <w:i/>
          <w:iCs/>
          <w:lang w:eastAsia="sk-SK"/>
        </w:rPr>
        <w:t xml:space="preserve">s </w:t>
      </w:r>
      <w:r w:rsidRPr="00C211AF">
        <w:rPr>
          <w:rFonts w:eastAsia="MTSY"/>
          <w:lang w:eastAsia="sk-SK"/>
        </w:rPr>
        <w:t xml:space="preserve">+ </w:t>
      </w:r>
      <w:r w:rsidRPr="00C211AF">
        <w:rPr>
          <w:rFonts w:eastAsia="RMTMI"/>
          <w:i/>
          <w:iCs/>
          <w:lang w:eastAsia="sk-SK"/>
        </w:rPr>
        <w:t>β</w:t>
      </w:r>
      <w:r w:rsidRPr="00C211AF">
        <w:rPr>
          <w:lang w:eastAsia="sk-SK"/>
        </w:rPr>
        <w:t>0</w:t>
      </w:r>
      <w:r w:rsidRPr="00C211AF">
        <w:rPr>
          <w:bCs/>
          <w:i/>
          <w:iCs/>
          <w:lang w:eastAsia="sk-SK"/>
        </w:rPr>
        <w:t xml:space="preserve">x </w:t>
      </w:r>
      <w:r w:rsidRPr="00C211AF">
        <w:rPr>
          <w:rFonts w:eastAsia="MTSY"/>
          <w:lang w:eastAsia="sk-SK"/>
        </w:rPr>
        <w:t xml:space="preserve">+ </w:t>
      </w:r>
      <w:r w:rsidRPr="00C211AF">
        <w:rPr>
          <w:rFonts w:eastAsia="RMTMI"/>
          <w:i/>
          <w:iCs/>
          <w:lang w:eastAsia="sk-SK"/>
        </w:rPr>
        <w:t>β</w:t>
      </w:r>
      <w:r w:rsidRPr="00C211AF">
        <w:rPr>
          <w:lang w:eastAsia="sk-SK"/>
        </w:rPr>
        <w:t>1</w:t>
      </w:r>
      <w:r w:rsidRPr="00C211AF">
        <w:rPr>
          <w:bCs/>
          <w:i/>
          <w:iCs/>
          <w:lang w:eastAsia="sk-SK"/>
        </w:rPr>
        <w:t>x</w:t>
      </w:r>
      <w:r w:rsidRPr="00C211AF">
        <w:rPr>
          <w:lang w:eastAsia="sk-SK"/>
        </w:rPr>
        <w:t xml:space="preserve">2 </w:t>
      </w:r>
      <w:r w:rsidRPr="00C211AF">
        <w:rPr>
          <w:rFonts w:eastAsia="MTSY"/>
          <w:lang w:eastAsia="sk-SK"/>
        </w:rPr>
        <w:t xml:space="preserve">+ </w:t>
      </w:r>
      <w:r w:rsidRPr="00C211AF">
        <w:rPr>
          <w:bCs/>
          <w:lang w:eastAsia="sk-SK"/>
        </w:rPr>
        <w:t xml:space="preserve">ε </w:t>
      </w:r>
    </w:p>
    <w:p w:rsidR="00DA3A6E" w:rsidRPr="00C211AF" w:rsidRDefault="00A14597" w:rsidP="00DA3A6E">
      <w:pPr>
        <w:autoSpaceDE w:val="0"/>
        <w:autoSpaceDN w:val="0"/>
        <w:adjustRightInd w:val="0"/>
        <w:jc w:val="both"/>
        <w:rPr>
          <w:lang w:eastAsia="sk-SK"/>
        </w:rPr>
      </w:pPr>
      <w:proofErr w:type="gramStart"/>
      <w:r w:rsidRPr="00C211AF">
        <w:rPr>
          <w:lang w:eastAsia="sk-SK"/>
        </w:rPr>
        <w:t>where</w:t>
      </w:r>
      <w:proofErr w:type="gramEnd"/>
      <w:r w:rsidRPr="00C211AF">
        <w:rPr>
          <w:lang w:eastAsia="sk-SK"/>
        </w:rPr>
        <w:t xml:space="preserve"> </w:t>
      </w:r>
      <w:r w:rsidRPr="00C211AF">
        <w:rPr>
          <w:bCs/>
          <w:i/>
          <w:iCs/>
          <w:lang w:eastAsia="sk-SK"/>
        </w:rPr>
        <w:t xml:space="preserve">s </w:t>
      </w:r>
      <w:r w:rsidRPr="00C211AF">
        <w:rPr>
          <w:lang w:eastAsia="sk-SK"/>
        </w:rPr>
        <w:t xml:space="preserve">denotes years of schooling, </w:t>
      </w:r>
      <w:r w:rsidRPr="00C211AF">
        <w:rPr>
          <w:bCs/>
          <w:i/>
          <w:iCs/>
          <w:lang w:eastAsia="sk-SK"/>
        </w:rPr>
        <w:t xml:space="preserve">x </w:t>
      </w:r>
      <w:r w:rsidRPr="00C211AF">
        <w:rPr>
          <w:lang w:eastAsia="sk-SK"/>
        </w:rPr>
        <w:t xml:space="preserve">is experience and </w:t>
      </w:r>
      <w:r w:rsidRPr="00C211AF">
        <w:rPr>
          <w:bCs/>
          <w:i/>
          <w:iCs/>
          <w:lang w:eastAsia="sk-SK"/>
        </w:rPr>
        <w:t>w</w:t>
      </w:r>
      <w:r w:rsidRPr="00C211AF">
        <w:rPr>
          <w:lang w:eastAsia="sk-SK"/>
        </w:rPr>
        <w:t>(</w:t>
      </w:r>
      <w:r w:rsidRPr="00C211AF">
        <w:rPr>
          <w:i/>
          <w:iCs/>
          <w:lang w:eastAsia="sk-SK"/>
        </w:rPr>
        <w:t>s</w:t>
      </w:r>
      <w:r w:rsidRPr="00C211AF">
        <w:rPr>
          <w:lang w:eastAsia="sk-SK"/>
        </w:rPr>
        <w:t xml:space="preserve">, </w:t>
      </w:r>
      <w:r w:rsidRPr="00C211AF">
        <w:rPr>
          <w:i/>
          <w:iCs/>
          <w:lang w:eastAsia="sk-SK"/>
        </w:rPr>
        <w:t>x</w:t>
      </w:r>
      <w:r w:rsidRPr="00C211AF">
        <w:rPr>
          <w:lang w:eastAsia="sk-SK"/>
        </w:rPr>
        <w:t xml:space="preserve">) are the earnings of an individual with </w:t>
      </w:r>
      <w:r w:rsidRPr="00C211AF">
        <w:rPr>
          <w:i/>
          <w:iCs/>
          <w:lang w:eastAsia="sk-SK"/>
        </w:rPr>
        <w:t xml:space="preserve">s </w:t>
      </w:r>
      <w:r w:rsidRPr="00C211AF">
        <w:rPr>
          <w:lang w:eastAsia="sk-SK"/>
        </w:rPr>
        <w:t xml:space="preserve">schooling years and </w:t>
      </w:r>
      <w:r w:rsidRPr="00C211AF">
        <w:rPr>
          <w:i/>
          <w:iCs/>
          <w:lang w:eastAsia="sk-SK"/>
        </w:rPr>
        <w:t xml:space="preserve">x </w:t>
      </w:r>
      <w:r w:rsidRPr="00C211AF">
        <w:rPr>
          <w:lang w:eastAsia="sk-SK"/>
        </w:rPr>
        <w:t>experience years (</w:t>
      </w:r>
      <w:proofErr w:type="spellStart"/>
      <w:r w:rsidRPr="00C211AF">
        <w:rPr>
          <w:lang w:eastAsia="sk-SK"/>
        </w:rPr>
        <w:t>Folloni-Vittadini</w:t>
      </w:r>
      <w:proofErr w:type="spellEnd"/>
      <w:r w:rsidRPr="00C211AF">
        <w:rPr>
          <w:lang w:eastAsia="sk-SK"/>
        </w:rPr>
        <w:t>, 2010).</w:t>
      </w:r>
    </w:p>
    <w:p w:rsidR="00DA3A6E" w:rsidRPr="00C211AF" w:rsidRDefault="00A14597" w:rsidP="00DA3A6E">
      <w:pPr>
        <w:autoSpaceDE w:val="0"/>
        <w:autoSpaceDN w:val="0"/>
        <w:adjustRightInd w:val="0"/>
        <w:ind w:firstLine="720"/>
        <w:jc w:val="both"/>
      </w:pPr>
      <w:r w:rsidRPr="00C211AF">
        <w:t xml:space="preserve">Another economist, </w:t>
      </w:r>
      <w:proofErr w:type="spellStart"/>
      <w:r w:rsidRPr="00C211AF">
        <w:t>Psacharopoulos</w:t>
      </w:r>
      <w:proofErr w:type="spellEnd"/>
      <w:r w:rsidRPr="00C211AF">
        <w:t xml:space="preserve"> (1994), has found out that the rate of return is positive for all types of education but the most for primary and secondary education, rather than tertiary education. </w:t>
      </w:r>
    </w:p>
    <w:p w:rsidR="00A14597" w:rsidRPr="00C211AF" w:rsidRDefault="00A14597" w:rsidP="00DA3A6E">
      <w:pPr>
        <w:autoSpaceDE w:val="0"/>
        <w:autoSpaceDN w:val="0"/>
        <w:adjustRightInd w:val="0"/>
        <w:ind w:firstLine="720"/>
        <w:jc w:val="both"/>
      </w:pPr>
      <w:r w:rsidRPr="00C211AF">
        <w:t xml:space="preserve">The empirical analysis of the </w:t>
      </w:r>
      <w:r w:rsidRPr="00C211AF">
        <w:rPr>
          <w:lang w:eastAsia="en-US"/>
        </w:rPr>
        <w:t xml:space="preserve">2010 edition of </w:t>
      </w:r>
      <w:r w:rsidRPr="00C211AF">
        <w:rPr>
          <w:rFonts w:ascii="Perpetua-Italic" w:hAnsi="Perpetua-Italic" w:cs="Perpetua-Italic"/>
          <w:i/>
          <w:iCs/>
          <w:lang w:eastAsia="en-US"/>
        </w:rPr>
        <w:t>Education at a Glance</w:t>
      </w:r>
      <w:r w:rsidRPr="00C211AF">
        <w:rPr>
          <w:rFonts w:ascii="Perpetua-Italic" w:hAnsi="Perpetua-Italic" w:cs="Perpetua-Italic"/>
          <w:iCs/>
          <w:lang w:eastAsia="en-US"/>
        </w:rPr>
        <w:t xml:space="preserve"> </w:t>
      </w:r>
      <w:r w:rsidRPr="00C211AF">
        <w:rPr>
          <w:lang w:eastAsia="en-US"/>
        </w:rPr>
        <w:t>shows that public resources invested in education ultimately pay off in even greater tax revenues. On average across OECD countries, a man with a tertiary education will generate an additional 119,000 USD in income taxes and social contributions over his working life compared to someone with an upper secondary level of education. Even after subtracting the public expenses spent to educate an individual, the remaining 86,809 USD is almost three times the amount of public investment per student in tertiary education.</w:t>
      </w:r>
      <w:r w:rsidRPr="00C211AF">
        <w:rPr>
          <w:rStyle w:val="FootnoteReference"/>
          <w:bCs/>
          <w:color w:val="000000"/>
        </w:rPr>
        <w:t xml:space="preserve"> </w:t>
      </w:r>
      <w:r w:rsidRPr="00C211AF">
        <w:rPr>
          <w:lang w:eastAsia="en-US"/>
        </w:rPr>
        <w:t>The chart below depicts the net present value (NPV) for selected OECD countries for tertiary education.</w:t>
      </w:r>
    </w:p>
    <w:p w:rsidR="00DA3A6E" w:rsidRPr="00C211AF" w:rsidRDefault="00DA3A6E" w:rsidP="0039254F">
      <w:pPr>
        <w:spacing w:before="120"/>
        <w:rPr>
          <w:rFonts w:ascii="Arial" w:hAnsi="Arial" w:cs="Arial"/>
          <w:b/>
          <w:bCs/>
          <w:color w:val="000000"/>
          <w:sz w:val="16"/>
          <w:szCs w:val="16"/>
        </w:rPr>
      </w:pPr>
    </w:p>
    <w:p w:rsidR="00A14597" w:rsidRPr="00C211AF" w:rsidRDefault="00A14597" w:rsidP="0039254F">
      <w:pPr>
        <w:spacing w:before="120"/>
        <w:rPr>
          <w:b/>
        </w:rPr>
      </w:pPr>
      <w:r w:rsidRPr="00C211AF">
        <w:rPr>
          <w:rFonts w:ascii="Arial" w:hAnsi="Arial" w:cs="Arial"/>
          <w:b/>
          <w:bCs/>
          <w:color w:val="000000"/>
          <w:sz w:val="16"/>
          <w:szCs w:val="16"/>
        </w:rPr>
        <w:t xml:space="preserve"> </w:t>
      </w:r>
      <w:r w:rsidRPr="00C211AF">
        <w:rPr>
          <w:b/>
        </w:rPr>
        <w:t>Chart 2: Public and private NPV in selected countries for tertiary education in dollars (male)</w:t>
      </w:r>
      <w:r w:rsidRPr="00C211AF">
        <w:rPr>
          <w:rStyle w:val="FootnoteReference"/>
          <w:b/>
        </w:rPr>
        <w:footnoteReference w:id="1"/>
      </w:r>
      <w:r w:rsidRPr="00C211AF">
        <w:rPr>
          <w:lang w:eastAsia="sk-SK"/>
        </w:rPr>
        <w:t xml:space="preserve"> </w:t>
      </w:r>
      <w:r w:rsidRPr="00C211AF">
        <w:rPr>
          <w:lang w:eastAsia="en-US"/>
        </w:rPr>
        <w:drawing>
          <wp:inline distT="0" distB="0" distL="0" distR="0" wp14:anchorId="7E89741F" wp14:editId="7A38D85F">
            <wp:extent cx="5574183" cy="3123590"/>
            <wp:effectExtent l="0" t="0" r="0"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cstate="print"/>
                    <a:srcRect/>
                    <a:stretch>
                      <a:fillRect/>
                    </a:stretch>
                  </pic:blipFill>
                  <pic:spPr bwMode="auto">
                    <a:xfrm>
                      <a:off x="0" y="0"/>
                      <a:ext cx="5576405" cy="3124835"/>
                    </a:xfrm>
                    <a:prstGeom prst="rect">
                      <a:avLst/>
                    </a:prstGeom>
                    <a:noFill/>
                    <a:ln w="9525">
                      <a:noFill/>
                      <a:miter lim="800000"/>
                      <a:headEnd/>
                      <a:tailEnd/>
                    </a:ln>
                  </pic:spPr>
                </pic:pic>
              </a:graphicData>
            </a:graphic>
          </wp:inline>
        </w:drawing>
      </w:r>
      <w:r w:rsidRPr="00C211AF">
        <w:t>Source: OECD - Education at a Glance, 2010</w:t>
      </w:r>
    </w:p>
    <w:p w:rsidR="00A14597" w:rsidRPr="00C211AF" w:rsidRDefault="00A14597" w:rsidP="0039254F">
      <w:pPr>
        <w:pStyle w:val="NormalWeb"/>
        <w:ind w:firstLine="709"/>
        <w:jc w:val="both"/>
        <w:rPr>
          <w:bCs/>
          <w:color w:val="000000"/>
          <w:lang w:val="en-US"/>
        </w:rPr>
      </w:pPr>
      <w:r w:rsidRPr="00C211AF">
        <w:rPr>
          <w:bCs/>
          <w:color w:val="000000"/>
          <w:lang w:val="en-US"/>
        </w:rPr>
        <w:t xml:space="preserve"> In most countries, the private net present value is higher than the public net present value, with the exceptions being Denmark, Germany and Belgium. Some policy makers like using this as an argument for transferring the costs of education from the public sector to the private sector, e.g., by introducing tuition at public schools. </w:t>
      </w:r>
      <w:r w:rsidRPr="00C211AF">
        <w:rPr>
          <w:lang w:val="en-US" w:eastAsia="en-US"/>
        </w:rPr>
        <w:t xml:space="preserve">Overall, the net present value for both the private and public sectors is positive, regardless of the country, and ranged from </w:t>
      </w:r>
      <w:r w:rsidRPr="00C211AF">
        <w:rPr>
          <w:bCs/>
          <w:color w:val="000000"/>
          <w:lang w:val="en-US"/>
        </w:rPr>
        <w:t xml:space="preserve">20,867 USD private net present </w:t>
      </w:r>
      <w:proofErr w:type="gramStart"/>
      <w:r w:rsidRPr="00C211AF">
        <w:rPr>
          <w:bCs/>
          <w:color w:val="000000"/>
          <w:lang w:val="en-US"/>
        </w:rPr>
        <w:t>value</w:t>
      </w:r>
      <w:proofErr w:type="gramEnd"/>
      <w:r w:rsidRPr="00C211AF">
        <w:rPr>
          <w:bCs/>
          <w:color w:val="000000"/>
          <w:lang w:val="en-US"/>
        </w:rPr>
        <w:t xml:space="preserve"> in Denmark to 366,728 USD private net present value in Portugal.</w:t>
      </w:r>
      <w:r w:rsidRPr="00C211AF">
        <w:rPr>
          <w:lang w:val="en-US" w:eastAsia="en-US"/>
        </w:rPr>
        <w:t xml:space="preserve"> </w:t>
      </w:r>
      <w:r w:rsidRPr="00C211AF">
        <w:rPr>
          <w:bCs/>
          <w:color w:val="000000"/>
          <w:lang w:val="en-US"/>
        </w:rPr>
        <w:t xml:space="preserve"> This analysis </w:t>
      </w:r>
      <w:r w:rsidRPr="00C211AF">
        <w:rPr>
          <w:bCs/>
          <w:color w:val="000000"/>
          <w:lang w:val="en-US"/>
        </w:rPr>
        <w:lastRenderedPageBreak/>
        <w:t xml:space="preserve">provides support for both private and public investing in tertiary education and highlights the positive aspects of education in terms of forming the human capital. </w:t>
      </w:r>
    </w:p>
    <w:p w:rsidR="00F61BB6" w:rsidRPr="00C211AF" w:rsidRDefault="00F61BB6" w:rsidP="00F61BB6">
      <w:pPr>
        <w:autoSpaceDE w:val="0"/>
        <w:autoSpaceDN w:val="0"/>
        <w:adjustRightInd w:val="0"/>
        <w:ind w:firstLine="708"/>
        <w:jc w:val="both"/>
        <w:rPr>
          <w:rFonts w:eastAsia="Calibri"/>
        </w:rPr>
      </w:pPr>
      <w:r w:rsidRPr="00C211AF">
        <w:rPr>
          <w:rFonts w:eastAsia="Calibri"/>
        </w:rPr>
        <w:t xml:space="preserve">The preceding cost-benefits analysis has provided sufficient evidence of the economic </w:t>
      </w:r>
      <w:proofErr w:type="spellStart"/>
      <w:r w:rsidRPr="00C211AF">
        <w:rPr>
          <w:rFonts w:eastAsia="Calibri"/>
        </w:rPr>
        <w:t>rentability</w:t>
      </w:r>
      <w:proofErr w:type="spellEnd"/>
      <w:r w:rsidRPr="00C211AF">
        <w:rPr>
          <w:rFonts w:eastAsia="Calibri"/>
        </w:rPr>
        <w:t xml:space="preserve"> of investment in tertiary education across OECD countries as both public and private net present values are positive. </w:t>
      </w:r>
      <w:r w:rsidRPr="00C211AF">
        <w:rPr>
          <w:lang w:eastAsia="en-US"/>
        </w:rPr>
        <w:t xml:space="preserve">For these reasons, individuals </w:t>
      </w:r>
      <w:r w:rsidRPr="00C211AF">
        <w:rPr>
          <w:rFonts w:eastAsia="Calibri"/>
        </w:rPr>
        <w:t xml:space="preserve">should be motivated to bear costs in the present in order to increase their productive capacity and incomes in the future, just as government should motivate individuals to study. </w:t>
      </w:r>
    </w:p>
    <w:p w:rsidR="002E05B6" w:rsidRPr="00C211AF" w:rsidRDefault="002E05B6" w:rsidP="0039254F">
      <w:pPr>
        <w:autoSpaceDE w:val="0"/>
        <w:autoSpaceDN w:val="0"/>
        <w:adjustRightInd w:val="0"/>
        <w:jc w:val="both"/>
        <w:rPr>
          <w:rFonts w:eastAsia="Calibri"/>
        </w:rPr>
      </w:pPr>
    </w:p>
    <w:p w:rsidR="000F4023" w:rsidRPr="00C211AF" w:rsidRDefault="00DA3A6E" w:rsidP="0039254F">
      <w:pPr>
        <w:autoSpaceDE w:val="0"/>
        <w:autoSpaceDN w:val="0"/>
        <w:adjustRightInd w:val="0"/>
        <w:jc w:val="both"/>
        <w:rPr>
          <w:rFonts w:eastAsia="Calibri"/>
          <w:b/>
        </w:rPr>
      </w:pPr>
      <w:r w:rsidRPr="00C211AF">
        <w:rPr>
          <w:rFonts w:eastAsia="Calibri"/>
          <w:b/>
        </w:rPr>
        <w:t>I</w:t>
      </w:r>
      <w:r w:rsidR="000F4023" w:rsidRPr="00C211AF">
        <w:rPr>
          <w:rFonts w:eastAsia="Calibri"/>
          <w:b/>
        </w:rPr>
        <w:t xml:space="preserve">ncreased tertiary education </w:t>
      </w:r>
      <w:r w:rsidRPr="00C211AF">
        <w:rPr>
          <w:rFonts w:eastAsia="Calibri"/>
          <w:b/>
        </w:rPr>
        <w:t>across the</w:t>
      </w:r>
      <w:r w:rsidR="000F4023" w:rsidRPr="00C211AF">
        <w:rPr>
          <w:rFonts w:eastAsia="Calibri"/>
          <w:b/>
        </w:rPr>
        <w:t xml:space="preserve"> European Union</w:t>
      </w:r>
      <w:r w:rsidRPr="00C211AF">
        <w:rPr>
          <w:rFonts w:eastAsia="Calibri"/>
          <w:b/>
        </w:rPr>
        <w:t xml:space="preserve"> countries</w:t>
      </w:r>
    </w:p>
    <w:p w:rsidR="002E05B6" w:rsidRPr="00C211AF" w:rsidRDefault="002E05B6" w:rsidP="0039254F">
      <w:pPr>
        <w:autoSpaceDE w:val="0"/>
        <w:autoSpaceDN w:val="0"/>
        <w:adjustRightInd w:val="0"/>
        <w:jc w:val="both"/>
        <w:rPr>
          <w:rFonts w:eastAsia="Calibri"/>
        </w:rPr>
      </w:pPr>
    </w:p>
    <w:p w:rsidR="00A345E6" w:rsidRPr="00C211AF" w:rsidRDefault="00DA3A6E" w:rsidP="00DA3A6E">
      <w:pPr>
        <w:autoSpaceDE w:val="0"/>
        <w:autoSpaceDN w:val="0"/>
        <w:adjustRightInd w:val="0"/>
        <w:ind w:firstLine="720"/>
      </w:pPr>
      <w:r w:rsidRPr="00C211AF">
        <w:t>In this context, the European Strategy Europe 2020 set up one of its main goals for EU27 countries as follows: to increase the educated population so that it reaches 40% of terti</w:t>
      </w:r>
      <w:r w:rsidRPr="00C211AF">
        <w:t xml:space="preserve">ary educated people aged 30-34 </w:t>
      </w:r>
      <w:r w:rsidR="00C211AF" w:rsidRPr="00C211AF">
        <w:t>by 2020. The more educated population should bring EU countries many positives on both private and public level.</w:t>
      </w:r>
    </w:p>
    <w:p w:rsidR="00A345E6" w:rsidRPr="00C211AF" w:rsidRDefault="00C211AF" w:rsidP="00C211AF">
      <w:pPr>
        <w:autoSpaceDE w:val="0"/>
        <w:autoSpaceDN w:val="0"/>
        <w:adjustRightInd w:val="0"/>
        <w:ind w:firstLine="720"/>
      </w:pPr>
      <w:r w:rsidRPr="00C211AF">
        <w:t>Despite of the main goal of Europe 2020, several countries do not cope with this target in their national programs p</w:t>
      </w:r>
      <w:r w:rsidR="00A13B8C">
        <w:t>erhaps due to the fact that their</w:t>
      </w:r>
      <w:r w:rsidRPr="00C211AF">
        <w:t xml:space="preserve"> current tertiary attainment is at a much lower level. (S</w:t>
      </w:r>
      <w:r w:rsidR="00A345E6" w:rsidRPr="00C211AF">
        <w:t>eventeen countries have their national targets at the same level or above the Europe 2020 headline target but the remaining 9 countries set up the national target at a lower level (Note: UK did not specify the National Reform Program)</w:t>
      </w:r>
      <w:r w:rsidRPr="00C211AF">
        <w:t>)</w:t>
      </w:r>
      <w:r w:rsidR="00A345E6" w:rsidRPr="00C211AF">
        <w:t>.</w:t>
      </w:r>
    </w:p>
    <w:p w:rsidR="00A345E6" w:rsidRPr="00C211AF" w:rsidRDefault="00A345E6" w:rsidP="00A345E6">
      <w:pPr>
        <w:pStyle w:val="ListParagraph"/>
        <w:spacing w:after="240"/>
        <w:ind w:left="0"/>
        <w:rPr>
          <w:lang w:val="en-US"/>
        </w:rPr>
      </w:pPr>
    </w:p>
    <w:p w:rsidR="00A345E6" w:rsidRPr="00C211AF" w:rsidRDefault="00DA3A6E" w:rsidP="00A345E6">
      <w:pPr>
        <w:pStyle w:val="ListParagraph"/>
        <w:spacing w:before="360"/>
        <w:ind w:left="0"/>
        <w:rPr>
          <w:b/>
          <w:lang w:val="en-US"/>
        </w:rPr>
      </w:pPr>
      <w:r w:rsidRPr="00C211AF">
        <w:rPr>
          <w:b/>
          <w:lang w:val="en-US"/>
        </w:rPr>
        <w:t>Table 1</w:t>
      </w:r>
      <w:r w:rsidR="00A345E6" w:rsidRPr="00C211AF">
        <w:rPr>
          <w:b/>
          <w:lang w:val="en-US"/>
        </w:rPr>
        <w:t>: National targets of EU27 countries in terms of tertiary attainment</w:t>
      </w:r>
    </w:p>
    <w:tbl>
      <w:tblPr>
        <w:tblW w:w="5000" w:type="pct"/>
        <w:tblCellMar>
          <w:left w:w="70" w:type="dxa"/>
          <w:right w:w="70" w:type="dxa"/>
        </w:tblCellMar>
        <w:tblLook w:val="04A0" w:firstRow="1" w:lastRow="0" w:firstColumn="1" w:lastColumn="0" w:noHBand="0" w:noVBand="1"/>
      </w:tblPr>
      <w:tblGrid>
        <w:gridCol w:w="368"/>
        <w:gridCol w:w="358"/>
        <w:gridCol w:w="377"/>
        <w:gridCol w:w="377"/>
        <w:gridCol w:w="358"/>
        <w:gridCol w:w="368"/>
        <w:gridCol w:w="387"/>
        <w:gridCol w:w="348"/>
        <w:gridCol w:w="348"/>
        <w:gridCol w:w="338"/>
        <w:gridCol w:w="311"/>
        <w:gridCol w:w="347"/>
        <w:gridCol w:w="435"/>
        <w:gridCol w:w="311"/>
        <w:gridCol w:w="430"/>
        <w:gridCol w:w="347"/>
        <w:gridCol w:w="367"/>
        <w:gridCol w:w="494"/>
        <w:gridCol w:w="393"/>
        <w:gridCol w:w="367"/>
        <w:gridCol w:w="338"/>
        <w:gridCol w:w="338"/>
        <w:gridCol w:w="435"/>
        <w:gridCol w:w="338"/>
        <w:gridCol w:w="311"/>
        <w:gridCol w:w="357"/>
      </w:tblGrid>
      <w:tr w:rsidR="00A345E6" w:rsidRPr="00C211AF" w:rsidTr="004E684A">
        <w:trPr>
          <w:trHeight w:val="285"/>
        </w:trPr>
        <w:tc>
          <w:tcPr>
            <w:tcW w:w="192"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AT</w:t>
            </w:r>
          </w:p>
        </w:tc>
        <w:tc>
          <w:tcPr>
            <w:tcW w:w="187"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BE</w:t>
            </w:r>
          </w:p>
        </w:tc>
        <w:tc>
          <w:tcPr>
            <w:tcW w:w="197"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BG</w:t>
            </w:r>
          </w:p>
        </w:tc>
        <w:tc>
          <w:tcPr>
            <w:tcW w:w="197"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CY</w:t>
            </w:r>
          </w:p>
        </w:tc>
        <w:tc>
          <w:tcPr>
            <w:tcW w:w="187"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CZ</w:t>
            </w:r>
          </w:p>
        </w:tc>
        <w:tc>
          <w:tcPr>
            <w:tcW w:w="192"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DE</w:t>
            </w:r>
          </w:p>
        </w:tc>
        <w:tc>
          <w:tcPr>
            <w:tcW w:w="202"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DK</w:t>
            </w:r>
          </w:p>
        </w:tc>
        <w:tc>
          <w:tcPr>
            <w:tcW w:w="182"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EE</w:t>
            </w:r>
          </w:p>
        </w:tc>
        <w:tc>
          <w:tcPr>
            <w:tcW w:w="182"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EL</w:t>
            </w:r>
          </w:p>
        </w:tc>
        <w:tc>
          <w:tcPr>
            <w:tcW w:w="177"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ES</w:t>
            </w:r>
          </w:p>
        </w:tc>
        <w:tc>
          <w:tcPr>
            <w:tcW w:w="163"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FI</w:t>
            </w:r>
          </w:p>
        </w:tc>
        <w:tc>
          <w:tcPr>
            <w:tcW w:w="182"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FR</w:t>
            </w:r>
          </w:p>
        </w:tc>
        <w:tc>
          <w:tcPr>
            <w:tcW w:w="228"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HU</w:t>
            </w:r>
          </w:p>
        </w:tc>
        <w:tc>
          <w:tcPr>
            <w:tcW w:w="163"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IE</w:t>
            </w:r>
          </w:p>
        </w:tc>
        <w:tc>
          <w:tcPr>
            <w:tcW w:w="225"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IT</w:t>
            </w:r>
          </w:p>
        </w:tc>
        <w:tc>
          <w:tcPr>
            <w:tcW w:w="182"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LT</w:t>
            </w:r>
          </w:p>
        </w:tc>
        <w:tc>
          <w:tcPr>
            <w:tcW w:w="192"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LU</w:t>
            </w:r>
          </w:p>
        </w:tc>
        <w:tc>
          <w:tcPr>
            <w:tcW w:w="259"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LV</w:t>
            </w:r>
          </w:p>
        </w:tc>
        <w:tc>
          <w:tcPr>
            <w:tcW w:w="206"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MT</w:t>
            </w:r>
          </w:p>
        </w:tc>
        <w:tc>
          <w:tcPr>
            <w:tcW w:w="192"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NL</w:t>
            </w:r>
          </w:p>
        </w:tc>
        <w:tc>
          <w:tcPr>
            <w:tcW w:w="177"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PL</w:t>
            </w:r>
          </w:p>
        </w:tc>
        <w:tc>
          <w:tcPr>
            <w:tcW w:w="177"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PT</w:t>
            </w:r>
          </w:p>
        </w:tc>
        <w:tc>
          <w:tcPr>
            <w:tcW w:w="228"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RO</w:t>
            </w:r>
          </w:p>
        </w:tc>
        <w:tc>
          <w:tcPr>
            <w:tcW w:w="177"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SE</w:t>
            </w:r>
          </w:p>
        </w:tc>
        <w:tc>
          <w:tcPr>
            <w:tcW w:w="163"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SI</w:t>
            </w:r>
          </w:p>
        </w:tc>
        <w:tc>
          <w:tcPr>
            <w:tcW w:w="187" w:type="pct"/>
            <w:tcBorders>
              <w:top w:val="single" w:sz="4" w:space="0" w:color="auto"/>
              <w:left w:val="nil"/>
              <w:bottom w:val="single" w:sz="4" w:space="0" w:color="auto"/>
              <w:right w:val="single" w:sz="4" w:space="0" w:color="auto"/>
            </w:tcBorders>
            <w:shd w:val="clear" w:color="auto" w:fill="BFBFBF"/>
            <w:noWrap/>
            <w:vAlign w:val="bottom"/>
            <w:hideMark/>
          </w:tcPr>
          <w:p w:rsidR="00A345E6" w:rsidRPr="00C211AF" w:rsidRDefault="00A345E6" w:rsidP="004E684A">
            <w:pPr>
              <w:jc w:val="center"/>
              <w:rPr>
                <w:sz w:val="14"/>
                <w:szCs w:val="14"/>
                <w:lang w:eastAsia="sk-SK"/>
              </w:rPr>
            </w:pPr>
            <w:r w:rsidRPr="00C211AF">
              <w:rPr>
                <w:sz w:val="14"/>
                <w:szCs w:val="14"/>
                <w:lang w:eastAsia="sk-SK"/>
              </w:rPr>
              <w:t>SK</w:t>
            </w:r>
          </w:p>
        </w:tc>
      </w:tr>
      <w:tr w:rsidR="00A345E6" w:rsidRPr="00C211AF" w:rsidTr="004E684A">
        <w:trPr>
          <w:trHeight w:val="285"/>
        </w:trPr>
        <w:tc>
          <w:tcPr>
            <w:tcW w:w="192" w:type="pct"/>
            <w:tcBorders>
              <w:top w:val="nil"/>
              <w:left w:val="single" w:sz="4" w:space="0" w:color="auto"/>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38</w:t>
            </w:r>
          </w:p>
        </w:tc>
        <w:tc>
          <w:tcPr>
            <w:tcW w:w="187"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47</w:t>
            </w:r>
          </w:p>
        </w:tc>
        <w:tc>
          <w:tcPr>
            <w:tcW w:w="197"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36</w:t>
            </w:r>
          </w:p>
        </w:tc>
        <w:tc>
          <w:tcPr>
            <w:tcW w:w="197"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46</w:t>
            </w:r>
          </w:p>
        </w:tc>
        <w:tc>
          <w:tcPr>
            <w:tcW w:w="187"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32</w:t>
            </w:r>
          </w:p>
        </w:tc>
        <w:tc>
          <w:tcPr>
            <w:tcW w:w="192"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42</w:t>
            </w:r>
          </w:p>
        </w:tc>
        <w:tc>
          <w:tcPr>
            <w:tcW w:w="202"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40</w:t>
            </w:r>
          </w:p>
        </w:tc>
        <w:tc>
          <w:tcPr>
            <w:tcW w:w="182"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40</w:t>
            </w:r>
          </w:p>
        </w:tc>
        <w:tc>
          <w:tcPr>
            <w:tcW w:w="182"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32</w:t>
            </w:r>
          </w:p>
        </w:tc>
        <w:tc>
          <w:tcPr>
            <w:tcW w:w="177"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44</w:t>
            </w:r>
          </w:p>
        </w:tc>
        <w:tc>
          <w:tcPr>
            <w:tcW w:w="163"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42</w:t>
            </w:r>
          </w:p>
        </w:tc>
        <w:tc>
          <w:tcPr>
            <w:tcW w:w="182"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50</w:t>
            </w:r>
          </w:p>
        </w:tc>
        <w:tc>
          <w:tcPr>
            <w:tcW w:w="228"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30,3</w:t>
            </w:r>
          </w:p>
        </w:tc>
        <w:tc>
          <w:tcPr>
            <w:tcW w:w="163"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60</w:t>
            </w:r>
          </w:p>
        </w:tc>
        <w:tc>
          <w:tcPr>
            <w:tcW w:w="225"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26</w:t>
            </w:r>
          </w:p>
        </w:tc>
        <w:tc>
          <w:tcPr>
            <w:tcW w:w="182"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40</w:t>
            </w:r>
          </w:p>
        </w:tc>
        <w:tc>
          <w:tcPr>
            <w:tcW w:w="192"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40</w:t>
            </w:r>
          </w:p>
        </w:tc>
        <w:tc>
          <w:tcPr>
            <w:tcW w:w="259"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34</w:t>
            </w:r>
          </w:p>
        </w:tc>
        <w:tc>
          <w:tcPr>
            <w:tcW w:w="206"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33</w:t>
            </w:r>
          </w:p>
        </w:tc>
        <w:tc>
          <w:tcPr>
            <w:tcW w:w="192"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40</w:t>
            </w:r>
          </w:p>
        </w:tc>
        <w:tc>
          <w:tcPr>
            <w:tcW w:w="177"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45</w:t>
            </w:r>
          </w:p>
        </w:tc>
        <w:tc>
          <w:tcPr>
            <w:tcW w:w="177"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40</w:t>
            </w:r>
          </w:p>
        </w:tc>
        <w:tc>
          <w:tcPr>
            <w:tcW w:w="228"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26,7</w:t>
            </w:r>
          </w:p>
        </w:tc>
        <w:tc>
          <w:tcPr>
            <w:tcW w:w="177"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40</w:t>
            </w:r>
          </w:p>
        </w:tc>
        <w:tc>
          <w:tcPr>
            <w:tcW w:w="163"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40</w:t>
            </w:r>
          </w:p>
        </w:tc>
        <w:tc>
          <w:tcPr>
            <w:tcW w:w="187" w:type="pct"/>
            <w:tcBorders>
              <w:top w:val="nil"/>
              <w:left w:val="nil"/>
              <w:bottom w:val="single" w:sz="4" w:space="0" w:color="auto"/>
              <w:right w:val="single" w:sz="4" w:space="0" w:color="auto"/>
            </w:tcBorders>
            <w:noWrap/>
            <w:vAlign w:val="bottom"/>
            <w:hideMark/>
          </w:tcPr>
          <w:p w:rsidR="00A345E6" w:rsidRPr="00C211AF" w:rsidRDefault="00A345E6" w:rsidP="004E684A">
            <w:pPr>
              <w:jc w:val="center"/>
              <w:rPr>
                <w:sz w:val="14"/>
                <w:szCs w:val="14"/>
                <w:lang w:eastAsia="sk-SK"/>
              </w:rPr>
            </w:pPr>
            <w:r w:rsidRPr="00C211AF">
              <w:rPr>
                <w:sz w:val="14"/>
                <w:szCs w:val="14"/>
                <w:lang w:eastAsia="sk-SK"/>
              </w:rPr>
              <w:t>40</w:t>
            </w:r>
          </w:p>
        </w:tc>
      </w:tr>
    </w:tbl>
    <w:p w:rsidR="00A345E6" w:rsidRPr="00C211AF" w:rsidRDefault="00A345E6" w:rsidP="00A345E6">
      <w:pPr>
        <w:pStyle w:val="ListParagraph"/>
        <w:spacing w:before="120" w:after="120"/>
        <w:ind w:left="0"/>
        <w:rPr>
          <w:lang w:val="en-US"/>
        </w:rPr>
      </w:pPr>
      <w:r w:rsidRPr="00C211AF">
        <w:rPr>
          <w:lang w:val="en-US"/>
        </w:rPr>
        <w:t xml:space="preserve">Source: Europe 2020 at </w:t>
      </w:r>
      <w:hyperlink r:id="rId11" w:history="1">
        <w:r w:rsidRPr="00C211AF">
          <w:rPr>
            <w:rStyle w:val="Hyperlink"/>
            <w:lang w:val="en-US"/>
          </w:rPr>
          <w:t>http://ec.europa.eu/europe2020</w:t>
        </w:r>
      </w:hyperlink>
    </w:p>
    <w:p w:rsidR="00C211AF" w:rsidRPr="00C211AF" w:rsidRDefault="00C211AF" w:rsidP="00C211AF">
      <w:pPr>
        <w:ind w:firstLine="720"/>
      </w:pPr>
    </w:p>
    <w:p w:rsidR="000F4023" w:rsidRPr="00C211AF" w:rsidRDefault="000F4023" w:rsidP="00C211AF">
      <w:pPr>
        <w:ind w:firstLine="720"/>
      </w:pPr>
      <w:r w:rsidRPr="00C211AF">
        <w:t>The following table indicates the percentage of the tertiary educated people aged 30-34 for the time period of 2000-2010</w:t>
      </w:r>
      <w:r w:rsidR="00C211AF" w:rsidRPr="00C211AF">
        <w:t xml:space="preserve"> for EU27 average and Central European countries</w:t>
      </w:r>
      <w:r w:rsidRPr="00C211AF">
        <w:t xml:space="preserve">. </w:t>
      </w:r>
    </w:p>
    <w:p w:rsidR="0039254F" w:rsidRPr="00C211AF" w:rsidRDefault="0039254F" w:rsidP="0039254F"/>
    <w:p w:rsidR="000F4023" w:rsidRPr="00C211AF" w:rsidRDefault="000F4023" w:rsidP="0039254F">
      <w:pPr>
        <w:pStyle w:val="ListParagraph"/>
        <w:spacing w:before="120" w:after="120"/>
        <w:ind w:left="0"/>
        <w:rPr>
          <w:b/>
          <w:lang w:val="en-US"/>
        </w:rPr>
      </w:pPr>
      <w:r w:rsidRPr="00C211AF">
        <w:rPr>
          <w:b/>
          <w:lang w:val="en-US"/>
        </w:rPr>
        <w:t xml:space="preserve">Chart </w:t>
      </w:r>
      <w:r w:rsidR="00C211AF" w:rsidRPr="00C211AF">
        <w:rPr>
          <w:b/>
          <w:lang w:val="en-US"/>
        </w:rPr>
        <w:t>3</w:t>
      </w:r>
      <w:r w:rsidRPr="00C211AF">
        <w:rPr>
          <w:b/>
          <w:lang w:val="en-US"/>
        </w:rPr>
        <w:t>: The percentage of tertiary educated people aged 30-34: selected countries</w:t>
      </w:r>
    </w:p>
    <w:p w:rsidR="00C211AF" w:rsidRPr="00C211AF" w:rsidRDefault="00C211AF" w:rsidP="0039254F">
      <w:pPr>
        <w:pStyle w:val="ListParagraph"/>
        <w:spacing w:before="120" w:after="120"/>
        <w:ind w:left="0"/>
        <w:rPr>
          <w:b/>
          <w:lang w:val="en-US"/>
        </w:rPr>
      </w:pPr>
    </w:p>
    <w:p w:rsidR="000F4023" w:rsidRPr="00C211AF" w:rsidRDefault="000F4023" w:rsidP="0039254F">
      <w:pPr>
        <w:pStyle w:val="ListParagraph"/>
        <w:ind w:left="0"/>
        <w:rPr>
          <w:b/>
          <w:lang w:val="en-US"/>
        </w:rPr>
      </w:pPr>
      <w:r w:rsidRPr="00C211AF">
        <w:rPr>
          <w:b/>
          <w:lang w:val="en-US" w:eastAsia="en-US"/>
        </w:rPr>
        <w:drawing>
          <wp:inline distT="0" distB="0" distL="0" distR="0" wp14:anchorId="71D1B22A" wp14:editId="14ACE6A1">
            <wp:extent cx="5698490" cy="2172335"/>
            <wp:effectExtent l="0" t="0" r="16510" b="1841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4023" w:rsidRPr="00C211AF" w:rsidRDefault="000F4023" w:rsidP="0039254F">
      <w:pPr>
        <w:pStyle w:val="ListParagraph"/>
        <w:spacing w:after="120"/>
        <w:ind w:left="0"/>
        <w:rPr>
          <w:lang w:val="en-US"/>
        </w:rPr>
      </w:pPr>
      <w:r w:rsidRPr="00C211AF">
        <w:rPr>
          <w:lang w:val="en-US"/>
        </w:rPr>
        <w:t>Source: own computation based on the date from Eurostat</w:t>
      </w:r>
    </w:p>
    <w:p w:rsidR="000F4023" w:rsidRPr="00C211AF" w:rsidRDefault="000F4023" w:rsidP="00A345E6">
      <w:pPr>
        <w:pStyle w:val="ListParagraph"/>
        <w:spacing w:after="240"/>
        <w:ind w:left="0"/>
        <w:rPr>
          <w:lang w:val="en-US"/>
        </w:rPr>
      </w:pPr>
      <w:r w:rsidRPr="00C211AF">
        <w:rPr>
          <w:lang w:val="en-US"/>
        </w:rPr>
        <w:tab/>
        <w:t xml:space="preserve"> </w:t>
      </w:r>
    </w:p>
    <w:p w:rsidR="00C211AF" w:rsidRDefault="00C211AF" w:rsidP="00C211AF">
      <w:pPr>
        <w:pStyle w:val="ListParagraph"/>
        <w:ind w:left="0" w:firstLine="720"/>
        <w:contextualSpacing w:val="0"/>
        <w:jc w:val="both"/>
        <w:rPr>
          <w:lang w:val="en-US"/>
        </w:rPr>
      </w:pPr>
      <w:r w:rsidRPr="00C211AF">
        <w:rPr>
          <w:lang w:val="en-US"/>
        </w:rPr>
        <w:lastRenderedPageBreak/>
        <w:t>It is obvious that all observed countries</w:t>
      </w:r>
      <w:r w:rsidR="00A13B8C">
        <w:rPr>
          <w:lang w:val="en-US"/>
        </w:rPr>
        <w:t>’</w:t>
      </w:r>
      <w:r w:rsidRPr="00C211AF">
        <w:rPr>
          <w:lang w:val="en-US"/>
        </w:rPr>
        <w:t xml:space="preserve"> tertiary attainment is at a lower </w:t>
      </w:r>
      <w:r w:rsidRPr="00C211AF">
        <w:rPr>
          <w:lang w:val="en-US"/>
        </w:rPr>
        <w:t xml:space="preserve">level than both the Europe 2020 target and </w:t>
      </w:r>
      <w:r w:rsidRPr="00C211AF">
        <w:rPr>
          <w:lang w:val="en-US"/>
        </w:rPr>
        <w:t xml:space="preserve">their national targets; however, </w:t>
      </w:r>
      <w:r w:rsidR="00A13B8C">
        <w:rPr>
          <w:lang w:val="en-US"/>
        </w:rPr>
        <w:t>all of them</w:t>
      </w:r>
      <w:r w:rsidRPr="00C211AF">
        <w:rPr>
          <w:lang w:val="en-US"/>
        </w:rPr>
        <w:t xml:space="preserve"> have an increasing slope</w:t>
      </w:r>
      <w:r w:rsidRPr="00C211AF">
        <w:rPr>
          <w:lang w:val="en-US"/>
        </w:rPr>
        <w:t xml:space="preserve">. </w:t>
      </w:r>
      <w:r w:rsidRPr="00C211AF">
        <w:rPr>
          <w:lang w:val="en-US"/>
        </w:rPr>
        <w:t>Poland has the steepest</w:t>
      </w:r>
      <w:r>
        <w:rPr>
          <w:lang w:val="en-US"/>
        </w:rPr>
        <w:t xml:space="preserve"> slope and is the closest to reaching the EU target. </w:t>
      </w:r>
    </w:p>
    <w:p w:rsidR="002552D7" w:rsidRDefault="002552D7" w:rsidP="00C211AF">
      <w:pPr>
        <w:pStyle w:val="ListParagraph"/>
        <w:ind w:left="0" w:firstLine="720"/>
        <w:contextualSpacing w:val="0"/>
        <w:jc w:val="both"/>
        <w:rPr>
          <w:lang w:val="en-US"/>
        </w:rPr>
      </w:pPr>
    </w:p>
    <w:p w:rsidR="002552D7" w:rsidRPr="00C211AF" w:rsidRDefault="002552D7" w:rsidP="00C211AF">
      <w:pPr>
        <w:pStyle w:val="ListParagraph"/>
        <w:ind w:left="0" w:firstLine="720"/>
        <w:contextualSpacing w:val="0"/>
        <w:jc w:val="both"/>
        <w:rPr>
          <w:lang w:val="en-US"/>
        </w:rPr>
      </w:pPr>
      <w:r>
        <w:rPr>
          <w:lang w:val="en-US"/>
        </w:rPr>
        <w:t>In the following section</w:t>
      </w:r>
      <w:r w:rsidR="000E6A7A">
        <w:rPr>
          <w:lang w:val="en-US"/>
        </w:rPr>
        <w:t>, we provide</w:t>
      </w:r>
      <w:r w:rsidR="000E6A7A" w:rsidRPr="002552D7">
        <w:rPr>
          <w:lang w:val="en-US"/>
        </w:rPr>
        <w:t xml:space="preserve"> an analysis of </w:t>
      </w:r>
      <w:proofErr w:type="spellStart"/>
      <w:r w:rsidR="000E6A7A">
        <w:t>both</w:t>
      </w:r>
      <w:proofErr w:type="spellEnd"/>
      <w:r w:rsidR="000E6A7A">
        <w:t xml:space="preserve"> </w:t>
      </w:r>
      <w:proofErr w:type="spellStart"/>
      <w:r w:rsidR="000E6A7A">
        <w:t>positive</w:t>
      </w:r>
      <w:proofErr w:type="spellEnd"/>
      <w:r w:rsidR="000E6A7A">
        <w:t xml:space="preserve"> and </w:t>
      </w:r>
      <w:proofErr w:type="spellStart"/>
      <w:r w:rsidR="000E6A7A">
        <w:t>negative</w:t>
      </w:r>
      <w:proofErr w:type="spellEnd"/>
      <w:r w:rsidR="000E6A7A" w:rsidRPr="002552D7">
        <w:rPr>
          <w:lang w:val="en-US"/>
        </w:rPr>
        <w:t xml:space="preserve"> impact of </w:t>
      </w:r>
      <w:r w:rsidR="000E6A7A">
        <w:rPr>
          <w:lang w:val="en-US"/>
        </w:rPr>
        <w:t xml:space="preserve">increased tertiary attainment on an example of one EU27 country </w:t>
      </w:r>
      <w:r w:rsidR="00A13B8C">
        <w:rPr>
          <w:lang w:val="en-US"/>
        </w:rPr>
        <w:t>–</w:t>
      </w:r>
      <w:r w:rsidR="000E6A7A">
        <w:rPr>
          <w:lang w:val="en-US"/>
        </w:rPr>
        <w:t xml:space="preserve"> </w:t>
      </w:r>
      <w:r w:rsidR="00A13B8C">
        <w:rPr>
          <w:lang w:val="en-US"/>
        </w:rPr>
        <w:t xml:space="preserve">the </w:t>
      </w:r>
      <w:r w:rsidR="000E6A7A">
        <w:rPr>
          <w:lang w:val="en-US"/>
        </w:rPr>
        <w:t>Slovak Republic.</w:t>
      </w:r>
    </w:p>
    <w:p w:rsidR="0039254F" w:rsidRPr="00C211AF" w:rsidRDefault="0039254F" w:rsidP="0039254F">
      <w:pPr>
        <w:pStyle w:val="ListParagraph"/>
        <w:spacing w:before="120" w:after="120"/>
        <w:ind w:left="0"/>
        <w:rPr>
          <w:lang w:val="en-US"/>
        </w:rPr>
      </w:pPr>
    </w:p>
    <w:p w:rsidR="00A345E6" w:rsidRPr="00C211AF" w:rsidRDefault="000E6A7A" w:rsidP="0039254F">
      <w:pPr>
        <w:pStyle w:val="ListParagraph"/>
        <w:spacing w:before="120" w:after="120"/>
        <w:ind w:left="0"/>
        <w:rPr>
          <w:b/>
          <w:lang w:val="en-US"/>
        </w:rPr>
      </w:pPr>
      <w:r>
        <w:rPr>
          <w:b/>
          <w:lang w:val="en-US"/>
        </w:rPr>
        <w:t>Analysis of the increased tertiary attainment for Slovakia</w:t>
      </w:r>
    </w:p>
    <w:p w:rsidR="00A345E6" w:rsidRPr="00C211AF" w:rsidRDefault="00A345E6" w:rsidP="00F61BB6">
      <w:pPr>
        <w:autoSpaceDE w:val="0"/>
        <w:autoSpaceDN w:val="0"/>
        <w:adjustRightInd w:val="0"/>
        <w:jc w:val="both"/>
      </w:pPr>
    </w:p>
    <w:p w:rsidR="00F61BB6" w:rsidRDefault="00F61BB6" w:rsidP="00F61BB6">
      <w:pPr>
        <w:autoSpaceDE w:val="0"/>
        <w:autoSpaceDN w:val="0"/>
        <w:adjustRightInd w:val="0"/>
        <w:jc w:val="both"/>
        <w:rPr>
          <w:i/>
        </w:rPr>
      </w:pPr>
      <w:r w:rsidRPr="00C211AF">
        <w:rPr>
          <w:i/>
        </w:rPr>
        <w:t>General information</w:t>
      </w:r>
      <w:r w:rsidR="000E6A7A">
        <w:rPr>
          <w:i/>
        </w:rPr>
        <w:t xml:space="preserve"> of the Slovak higher education</w:t>
      </w:r>
    </w:p>
    <w:p w:rsidR="000E6A7A" w:rsidRPr="00C211AF" w:rsidRDefault="000E6A7A" w:rsidP="00F61BB6">
      <w:pPr>
        <w:autoSpaceDE w:val="0"/>
        <w:autoSpaceDN w:val="0"/>
        <w:adjustRightInd w:val="0"/>
        <w:jc w:val="both"/>
        <w:rPr>
          <w:i/>
        </w:rPr>
      </w:pPr>
    </w:p>
    <w:p w:rsidR="00A345E6" w:rsidRPr="00C211AF" w:rsidRDefault="00A345E6" w:rsidP="00A345E6">
      <w:pPr>
        <w:autoSpaceDE w:val="0"/>
        <w:autoSpaceDN w:val="0"/>
        <w:adjustRightInd w:val="0"/>
        <w:ind w:firstLine="709"/>
        <w:jc w:val="both"/>
        <w:rPr>
          <w:rStyle w:val="st1"/>
        </w:rPr>
      </w:pPr>
      <w:r w:rsidRPr="00C211AF">
        <w:rPr>
          <w:rStyle w:val="st1"/>
        </w:rPr>
        <w:t>Slovak higher education has a relatively long tradition dating to 1919 when the first university – Comenius University – was established in the former Czechoslovakia. The second wave of the development of tertiary education was evident in the 1950s and 1960s when the percentage of the tertiary educated workforce in Slovakia reached over 3% (in Czech Republic it was 3.4%). The third period of development was after November 1989 (</w:t>
      </w:r>
      <w:proofErr w:type="spellStart"/>
      <w:r w:rsidRPr="00C211AF">
        <w:rPr>
          <w:rStyle w:val="st1"/>
        </w:rPr>
        <w:t>Verejná</w:t>
      </w:r>
      <w:proofErr w:type="spellEnd"/>
      <w:r w:rsidRPr="00C211AF">
        <w:rPr>
          <w:rStyle w:val="st1"/>
        </w:rPr>
        <w:t xml:space="preserve"> </w:t>
      </w:r>
      <w:proofErr w:type="spellStart"/>
      <w:r w:rsidRPr="00C211AF">
        <w:rPr>
          <w:rStyle w:val="st1"/>
        </w:rPr>
        <w:t>politika</w:t>
      </w:r>
      <w:proofErr w:type="spellEnd"/>
      <w:r w:rsidRPr="00C211AF">
        <w:rPr>
          <w:rStyle w:val="st1"/>
        </w:rPr>
        <w:t xml:space="preserve">, 2002). Our further analysis concentrates on this latest period.  </w:t>
      </w:r>
    </w:p>
    <w:p w:rsidR="00A345E6" w:rsidRPr="00C211AF" w:rsidRDefault="00A345E6" w:rsidP="00A345E6">
      <w:pPr>
        <w:autoSpaceDE w:val="0"/>
        <w:autoSpaceDN w:val="0"/>
        <w:adjustRightInd w:val="0"/>
        <w:spacing w:after="240"/>
        <w:jc w:val="both"/>
        <w:rPr>
          <w:rStyle w:val="st1"/>
        </w:rPr>
      </w:pPr>
      <w:r w:rsidRPr="00C211AF">
        <w:rPr>
          <w:rStyle w:val="st1"/>
        </w:rPr>
        <w:tab/>
        <w:t>The following chart presents the number of universities in Slovakia as well as the number of students per teacher and the number of students per associate professor or professor.</w:t>
      </w:r>
    </w:p>
    <w:p w:rsidR="00A345E6" w:rsidRPr="00C211AF" w:rsidRDefault="00A345E6" w:rsidP="00A345E6">
      <w:pPr>
        <w:autoSpaceDE w:val="0"/>
        <w:autoSpaceDN w:val="0"/>
        <w:adjustRightInd w:val="0"/>
        <w:jc w:val="both"/>
        <w:rPr>
          <w:rFonts w:ascii="Garamond+1" w:eastAsia="Garamond+1" w:hAnsi="Garamond"/>
          <w:b/>
          <w:bCs/>
        </w:rPr>
      </w:pPr>
      <w:r w:rsidRPr="00C211AF">
        <w:rPr>
          <w:rStyle w:val="st1"/>
          <w:b/>
          <w:bCs/>
        </w:rPr>
        <w:t xml:space="preserve">Chart </w:t>
      </w:r>
      <w:r w:rsidR="000E6A7A">
        <w:rPr>
          <w:rStyle w:val="st1"/>
          <w:b/>
          <w:bCs/>
        </w:rPr>
        <w:t>4</w:t>
      </w:r>
      <w:r w:rsidRPr="00C211AF">
        <w:rPr>
          <w:rStyle w:val="st1"/>
          <w:b/>
          <w:bCs/>
        </w:rPr>
        <w:t xml:space="preserve"> Core data of Slovak higher education system (years 1989-2010)</w:t>
      </w:r>
    </w:p>
    <w:p w:rsidR="00A345E6" w:rsidRPr="00C211AF" w:rsidRDefault="00A345E6" w:rsidP="00A345E6">
      <w:pPr>
        <w:autoSpaceDE w:val="0"/>
        <w:autoSpaceDN w:val="0"/>
        <w:adjustRightInd w:val="0"/>
        <w:jc w:val="both"/>
        <w:rPr>
          <w:rStyle w:val="st1"/>
        </w:rPr>
      </w:pPr>
      <w:r w:rsidRPr="00C211AF">
        <w:rPr>
          <w:lang w:eastAsia="en-US"/>
        </w:rPr>
        <w:drawing>
          <wp:inline distT="0" distB="0" distL="0" distR="0" wp14:anchorId="48185B38" wp14:editId="69705E0A">
            <wp:extent cx="5579745" cy="2290389"/>
            <wp:effectExtent l="0" t="0" r="20955"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45E6" w:rsidRPr="00C211AF" w:rsidRDefault="00A345E6" w:rsidP="00A345E6">
      <w:pPr>
        <w:autoSpaceDE w:val="0"/>
        <w:autoSpaceDN w:val="0"/>
        <w:adjustRightInd w:val="0"/>
        <w:jc w:val="both"/>
        <w:rPr>
          <w:rStyle w:val="st1"/>
        </w:rPr>
      </w:pPr>
    </w:p>
    <w:p w:rsidR="00A345E6" w:rsidRPr="00C211AF" w:rsidRDefault="00A345E6" w:rsidP="00A345E6">
      <w:pPr>
        <w:autoSpaceDE w:val="0"/>
        <w:autoSpaceDN w:val="0"/>
        <w:adjustRightInd w:val="0"/>
        <w:jc w:val="both"/>
        <w:rPr>
          <w:rStyle w:val="st1"/>
        </w:rPr>
      </w:pPr>
      <w:r w:rsidRPr="00C211AF">
        <w:rPr>
          <w:rStyle w:val="st1"/>
        </w:rPr>
        <w:t xml:space="preserve">Source: own computation based on data from the Statistical Office of the Slovak Republic and </w:t>
      </w:r>
      <w:r w:rsidRPr="00C211AF">
        <w:t xml:space="preserve">the </w:t>
      </w:r>
      <w:r w:rsidRPr="00C211AF">
        <w:rPr>
          <w:rStyle w:val="st1"/>
        </w:rPr>
        <w:t>Institute of Information and Prognoses of Education in Bratislava (UIPS, 2011)</w:t>
      </w:r>
    </w:p>
    <w:p w:rsidR="00A345E6" w:rsidRPr="00C211AF" w:rsidRDefault="00A345E6" w:rsidP="00A345E6">
      <w:pPr>
        <w:jc w:val="both"/>
      </w:pPr>
    </w:p>
    <w:p w:rsidR="00A345E6" w:rsidRDefault="00A345E6" w:rsidP="00A345E6">
      <w:pPr>
        <w:autoSpaceDE w:val="0"/>
        <w:autoSpaceDN w:val="0"/>
        <w:adjustRightInd w:val="0"/>
        <w:ind w:firstLine="709"/>
        <w:jc w:val="both"/>
        <w:rPr>
          <w:lang w:eastAsia="sk-SK"/>
        </w:rPr>
      </w:pPr>
      <w:r w:rsidRPr="00C211AF">
        <w:rPr>
          <w:rStyle w:val="st1"/>
        </w:rPr>
        <w:t>It is evident that the number of universities grew rapidly – in 1989 there were only 13 universities, whereas in 2010 there were 33 universities. The 34</w:t>
      </w:r>
      <w:r w:rsidRPr="00C211AF">
        <w:rPr>
          <w:rStyle w:val="st1"/>
          <w:vertAlign w:val="superscript"/>
        </w:rPr>
        <w:t>th</w:t>
      </w:r>
      <w:r w:rsidRPr="00C211AF">
        <w:rPr>
          <w:rStyle w:val="st1"/>
        </w:rPr>
        <w:t xml:space="preserve"> and 35</w:t>
      </w:r>
      <w:r w:rsidRPr="00C211AF">
        <w:rPr>
          <w:rStyle w:val="st1"/>
          <w:vertAlign w:val="superscript"/>
        </w:rPr>
        <w:t>th</w:t>
      </w:r>
      <w:r w:rsidRPr="00C211AF">
        <w:rPr>
          <w:rStyle w:val="st1"/>
        </w:rPr>
        <w:t xml:space="preserve"> were established in 2011. The number of students grew at an even higher rate – in 1989 there were 51,299</w:t>
      </w:r>
      <w:r w:rsidRPr="00C211AF">
        <w:rPr>
          <w:lang w:eastAsia="sk-SK"/>
        </w:rPr>
        <w:t xml:space="preserve"> full time students whereas in 2010 the number exceeded 139,</w:t>
      </w:r>
      <w:r w:rsidRPr="000E6A7A">
        <w:rPr>
          <w:lang w:eastAsia="sk-SK"/>
        </w:rPr>
        <w:t xml:space="preserve">716 (UIPS, 2010). The increase in the number of students naturally transfers into a higher number of graduates and a more educated workforce at the later stage. Considering the benefits of </w:t>
      </w:r>
      <w:r w:rsidRPr="000E6A7A">
        <w:rPr>
          <w:rStyle w:val="main1"/>
          <w:b w:val="0"/>
        </w:rPr>
        <w:t xml:space="preserve">education as outlined </w:t>
      </w:r>
      <w:r w:rsidR="000E6A7A" w:rsidRPr="000E6A7A">
        <w:rPr>
          <w:rStyle w:val="main1"/>
          <w:b w:val="0"/>
        </w:rPr>
        <w:t>before</w:t>
      </w:r>
      <w:r w:rsidRPr="000E6A7A">
        <w:rPr>
          <w:rStyle w:val="main1"/>
          <w:b w:val="0"/>
        </w:rPr>
        <w:t>, such rapid growth in tertiary education among the Slovak population should be viewed</w:t>
      </w:r>
      <w:r w:rsidRPr="000E6A7A">
        <w:rPr>
          <w:lang w:eastAsia="sk-SK"/>
        </w:rPr>
        <w:t xml:space="preserve"> very positively. </w:t>
      </w:r>
    </w:p>
    <w:p w:rsidR="000E6A7A" w:rsidRPr="000E6A7A" w:rsidRDefault="000E6A7A" w:rsidP="00A345E6">
      <w:pPr>
        <w:autoSpaceDE w:val="0"/>
        <w:autoSpaceDN w:val="0"/>
        <w:adjustRightInd w:val="0"/>
        <w:ind w:firstLine="709"/>
        <w:jc w:val="both"/>
        <w:rPr>
          <w:lang w:eastAsia="sk-SK"/>
        </w:rPr>
      </w:pPr>
    </w:p>
    <w:p w:rsidR="000E6A7A" w:rsidRPr="00C211AF" w:rsidRDefault="000E6A7A" w:rsidP="000E6A7A">
      <w:pPr>
        <w:autoSpaceDE w:val="0"/>
        <w:autoSpaceDN w:val="0"/>
        <w:adjustRightInd w:val="0"/>
        <w:ind w:firstLine="709"/>
        <w:jc w:val="both"/>
        <w:rPr>
          <w:rStyle w:val="st1"/>
        </w:rPr>
      </w:pPr>
      <w:r w:rsidRPr="00C211AF">
        <w:rPr>
          <w:lang w:eastAsia="sk-SK"/>
        </w:rPr>
        <w:lastRenderedPageBreak/>
        <w:t>E</w:t>
      </w:r>
      <w:r w:rsidRPr="00C211AF">
        <w:t>nlarging the number of tertiary graduates is greatly supported by the European Union and Slovak government as is clear from Europe 2020 and the Slovak National Reform Program</w:t>
      </w:r>
      <w:r>
        <w:t xml:space="preserve">. More specifically, as was previously stated, </w:t>
      </w:r>
      <w:r w:rsidRPr="00C211AF">
        <w:t>one of the Europe 2020 headline targets is to have the share of people aged 30-34 completing the third level education reach at least 40% by 2020. The previous Slovak Ministry of Education established its target at the same level in the</w:t>
      </w:r>
      <w:r>
        <w:t xml:space="preserve"> Slovak National Reform Program, thus 40% </w:t>
      </w:r>
      <w:r w:rsidRPr="00C211AF">
        <w:t>(Europe 2020).</w:t>
      </w:r>
    </w:p>
    <w:p w:rsidR="000E6A7A" w:rsidRPr="00C211AF" w:rsidRDefault="000E6A7A" w:rsidP="000E6A7A">
      <w:pPr>
        <w:pStyle w:val="ListParagraph"/>
        <w:ind w:left="0" w:firstLine="709"/>
        <w:contextualSpacing w:val="0"/>
        <w:jc w:val="both"/>
        <w:rPr>
          <w:lang w:val="en-US"/>
        </w:rPr>
      </w:pPr>
      <w:r w:rsidRPr="00C211AF">
        <w:rPr>
          <w:lang w:val="en-US"/>
        </w:rPr>
        <w:t>In 2010, 22.1% of people aged 30-34 in Slovakia had attained tertiary education; th</w:t>
      </w:r>
      <w:r>
        <w:rPr>
          <w:lang w:val="en-US"/>
        </w:rPr>
        <w:t>erefore</w:t>
      </w:r>
      <w:r w:rsidRPr="00C211AF">
        <w:rPr>
          <w:lang w:val="en-US"/>
        </w:rPr>
        <w:t>, Slovakia at a substantially lower level than both the Europe 2020 target and most of the selected countries. Even though Slovak tertiary attainment is relatively low compared to the other EU countries, it is worth stating that the increase in Slovak tertiary attainment for the period of 2000-2010 was one of the most rapid: tertiary attainment increased 2.08 times in Slovakia whereas the average increase in the EU27 countries was 1.5. Only Poland, Malta, and Luxembourg had a higher increase in tertiary attainment in the observed time frame (Eurostat, 2012).</w:t>
      </w:r>
    </w:p>
    <w:p w:rsidR="000E6A7A" w:rsidRPr="00C211AF" w:rsidRDefault="000E6A7A" w:rsidP="000E6A7A">
      <w:pPr>
        <w:pStyle w:val="ListParagraph"/>
        <w:spacing w:after="240"/>
        <w:ind w:left="0" w:firstLine="709"/>
        <w:contextualSpacing w:val="0"/>
        <w:jc w:val="both"/>
        <w:rPr>
          <w:lang w:val="en-US"/>
        </w:rPr>
      </w:pPr>
      <w:r w:rsidRPr="00C211AF">
        <w:rPr>
          <w:lang w:val="en-US"/>
        </w:rPr>
        <w:t>Even though Slovak higher education attainment is lower than the average tertiary attainment of EU countries, the increase of tertiary educated people was one of the most rapid. If such increase continues, there is a probability that the Slovak tertiary attainment will reach the</w:t>
      </w:r>
      <w:r>
        <w:rPr>
          <w:lang w:val="en-US"/>
        </w:rPr>
        <w:t xml:space="preserve"> Europe 2020 </w:t>
      </w:r>
      <w:proofErr w:type="spellStart"/>
      <w:r>
        <w:rPr>
          <w:lang w:val="en-US"/>
        </w:rPr>
        <w:t>headtarget</w:t>
      </w:r>
      <w:proofErr w:type="spellEnd"/>
      <w:r>
        <w:rPr>
          <w:lang w:val="en-US"/>
        </w:rPr>
        <w:t xml:space="preserve"> of 40%.</w:t>
      </w:r>
    </w:p>
    <w:p w:rsidR="00A345E6" w:rsidRPr="00C211AF" w:rsidRDefault="00A345E6" w:rsidP="00A345E6">
      <w:pPr>
        <w:pStyle w:val="NormalWeb"/>
        <w:jc w:val="both"/>
        <w:rPr>
          <w:bCs/>
          <w:i/>
          <w:color w:val="000000"/>
          <w:lang w:val="en-US"/>
        </w:rPr>
      </w:pPr>
      <w:r w:rsidRPr="00C211AF">
        <w:rPr>
          <w:bCs/>
          <w:i/>
          <w:color w:val="000000"/>
          <w:lang w:val="en-US"/>
        </w:rPr>
        <w:t>Return on investment in the Slovak Republic</w:t>
      </w:r>
    </w:p>
    <w:p w:rsidR="00A345E6" w:rsidRPr="00C211AF" w:rsidRDefault="00A345E6" w:rsidP="00A345E6">
      <w:pPr>
        <w:pStyle w:val="NormalWeb"/>
        <w:ind w:firstLine="709"/>
        <w:jc w:val="both"/>
        <w:rPr>
          <w:bCs/>
          <w:color w:val="000000"/>
          <w:lang w:val="en-US"/>
        </w:rPr>
      </w:pPr>
      <w:r w:rsidRPr="00C211AF">
        <w:rPr>
          <w:bCs/>
          <w:color w:val="000000"/>
          <w:lang w:val="en-US"/>
        </w:rPr>
        <w:t>The Slovak Republic is not included in the</w:t>
      </w:r>
      <w:r w:rsidR="000E6A7A">
        <w:rPr>
          <w:bCs/>
          <w:color w:val="000000"/>
          <w:lang w:val="en-US"/>
        </w:rPr>
        <w:t xml:space="preserve"> previously </w:t>
      </w:r>
      <w:r w:rsidR="00D64FE8">
        <w:rPr>
          <w:bCs/>
          <w:color w:val="000000"/>
          <w:lang w:val="en-US"/>
        </w:rPr>
        <w:t>mentioned</w:t>
      </w:r>
      <w:r w:rsidRPr="00C211AF">
        <w:rPr>
          <w:bCs/>
          <w:color w:val="000000"/>
          <w:lang w:val="en-US"/>
        </w:rPr>
        <w:t xml:space="preserve"> OECD Education at a Glance study but this deficiency has been, to some extent, compensated for by the analysis of the Slovak Financial Policy Institute (IFP), which estimated the net present value of Slovakia using the OECD methodology. According to the analysis of IFP, the public net present value of a tertiary educated male in Slovakia is 94,903 USD, and the private net present value of a tertiary educated male is 240,994 USD (IFP, 2011). In this regard, a significant observation can be made: the private net present value for a Slovak male is the fourth highest among OECD countries (only Portugal, Italy and the Czech Republic have higher NPVs).</w:t>
      </w:r>
      <w:r w:rsidRPr="00C211AF">
        <w:rPr>
          <w:rStyle w:val="FootnoteReference"/>
          <w:bCs/>
          <w:color w:val="000000"/>
          <w:lang w:val="en-US"/>
        </w:rPr>
        <w:footnoteReference w:id="2"/>
      </w:r>
      <w:r w:rsidRPr="00C211AF">
        <w:rPr>
          <w:bCs/>
          <w:color w:val="000000"/>
          <w:lang w:val="en-US"/>
        </w:rPr>
        <w:t xml:space="preserve"> </w:t>
      </w:r>
    </w:p>
    <w:p w:rsidR="00A345E6" w:rsidRPr="00C211AF" w:rsidRDefault="00A345E6" w:rsidP="00A345E6">
      <w:pPr>
        <w:pStyle w:val="NormalWeb"/>
        <w:ind w:firstLine="708"/>
        <w:jc w:val="both"/>
        <w:rPr>
          <w:bCs/>
          <w:color w:val="000000"/>
          <w:lang w:val="en-US"/>
        </w:rPr>
      </w:pPr>
      <w:r w:rsidRPr="00C211AF">
        <w:rPr>
          <w:bCs/>
          <w:color w:val="000000"/>
          <w:lang w:val="en-US"/>
        </w:rPr>
        <w:t xml:space="preserve">The IFP also provides an analysis of the private internal rate of return of Slovakia and compares it with the other OECD countries. Its findings are rather positive as the private IRR for a tertiary educated male in Slovakia (22%) is much higher than the average IRR of the OECD countries (12%). In fact, the Slovak IRR is the highest after the IRR of the Czech Republic (IFP, 2011). </w:t>
      </w:r>
      <w:r w:rsidRPr="00C211AF">
        <w:rPr>
          <w:rFonts w:eastAsia="Calibri"/>
          <w:lang w:val="en-US"/>
        </w:rPr>
        <w:t xml:space="preserve">In this context, </w:t>
      </w:r>
      <w:proofErr w:type="spellStart"/>
      <w:r w:rsidRPr="00C211AF">
        <w:rPr>
          <w:bCs/>
          <w:color w:val="000000"/>
          <w:lang w:val="en-US"/>
        </w:rPr>
        <w:t>Belovicsová</w:t>
      </w:r>
      <w:proofErr w:type="spellEnd"/>
      <w:r w:rsidRPr="00C211AF">
        <w:rPr>
          <w:bCs/>
          <w:color w:val="000000"/>
          <w:lang w:val="en-US"/>
        </w:rPr>
        <w:t xml:space="preserve"> (2010) suggests increasing the expenditure on Slovak tertiary education and proposes that students bear more significant costs. She views the increased spending on tertiary education as a must to enhance Slovak tertiary education in the knowledge economy.</w:t>
      </w:r>
    </w:p>
    <w:p w:rsidR="00F61BB6" w:rsidRPr="00C211AF" w:rsidRDefault="00F61BB6" w:rsidP="0039254F">
      <w:pPr>
        <w:pStyle w:val="ListParagraph"/>
        <w:spacing w:after="240"/>
        <w:ind w:left="0"/>
        <w:rPr>
          <w:b/>
          <w:lang w:val="en-US"/>
        </w:rPr>
      </w:pPr>
    </w:p>
    <w:p w:rsidR="00A14597" w:rsidRPr="000E6A7A" w:rsidRDefault="00A14597" w:rsidP="0039254F">
      <w:pPr>
        <w:pStyle w:val="ListParagraph"/>
        <w:spacing w:after="240"/>
        <w:ind w:left="0"/>
        <w:rPr>
          <w:i/>
          <w:lang w:val="en-US"/>
        </w:rPr>
      </w:pPr>
      <w:r w:rsidRPr="000E6A7A">
        <w:rPr>
          <w:i/>
          <w:lang w:val="en-US"/>
        </w:rPr>
        <w:t>Problems accompanying the increase of tertiary educated people for Slovakia</w:t>
      </w:r>
    </w:p>
    <w:p w:rsidR="00F61BB6" w:rsidRPr="00C211AF" w:rsidRDefault="00F61BB6" w:rsidP="0039254F">
      <w:pPr>
        <w:pStyle w:val="ListParagraph"/>
        <w:spacing w:after="240"/>
        <w:ind w:left="0"/>
        <w:rPr>
          <w:lang w:val="en-US"/>
        </w:rPr>
      </w:pPr>
    </w:p>
    <w:p w:rsidR="00A14597" w:rsidRPr="00C211AF" w:rsidRDefault="00A14597" w:rsidP="0039254F">
      <w:pPr>
        <w:pStyle w:val="ListParagraph"/>
        <w:ind w:left="0" w:firstLine="709"/>
        <w:jc w:val="both"/>
        <w:rPr>
          <w:lang w:val="en-US"/>
        </w:rPr>
      </w:pPr>
      <w:r w:rsidRPr="00C211AF">
        <w:rPr>
          <w:lang w:val="en-US"/>
        </w:rPr>
        <w:t xml:space="preserve">In the previous section, we have </w:t>
      </w:r>
      <w:r w:rsidR="000E6A7A">
        <w:rPr>
          <w:lang w:val="en-US"/>
        </w:rPr>
        <w:t>described the benefits of increased education and pointed at a fact that Slovak tertiary attainment is on a rise.</w:t>
      </w:r>
      <w:r w:rsidRPr="00C211AF">
        <w:rPr>
          <w:lang w:val="en-US"/>
        </w:rPr>
        <w:t xml:space="preserve"> In this section, we </w:t>
      </w:r>
      <w:r w:rsidR="000E6A7A" w:rsidRPr="00C211AF">
        <w:rPr>
          <w:lang w:val="en-US"/>
        </w:rPr>
        <w:t>analyze</w:t>
      </w:r>
      <w:r w:rsidRPr="00C211AF">
        <w:rPr>
          <w:lang w:val="en-US"/>
        </w:rPr>
        <w:t xml:space="preserve"> the negative side </w:t>
      </w:r>
      <w:r w:rsidRPr="00C211AF">
        <w:rPr>
          <w:lang w:val="en-US"/>
        </w:rPr>
        <w:lastRenderedPageBreak/>
        <w:t>of the increased tertiary educated workforce. We base our analysis on the theoretical background as well as faculty and employers views on the current Slovak higher education.</w:t>
      </w:r>
    </w:p>
    <w:p w:rsidR="00A14597" w:rsidRPr="00C211AF" w:rsidRDefault="00A14597" w:rsidP="0039254F">
      <w:pPr>
        <w:pStyle w:val="ListParagraph"/>
        <w:ind w:left="0" w:firstLine="709"/>
        <w:jc w:val="both"/>
        <w:rPr>
          <w:lang w:val="en-US"/>
        </w:rPr>
      </w:pPr>
      <w:r w:rsidRPr="00C211AF">
        <w:rPr>
          <w:lang w:val="en-US"/>
        </w:rPr>
        <w:t xml:space="preserve"> In spite of the obvious benefits of the increased tertiary attainment for Slovakia, it also brings many problems, especially due to the fact that the increase has been very rapid. Besides the need for increased government spending, it also presents a challenge for the universities to handle such a massive increase of students (the fourth highest in the EU27; Eurostat 2012), a challenge that universities have been unable to overcome as many authors (</w:t>
      </w:r>
      <w:proofErr w:type="spellStart"/>
      <w:r w:rsidRPr="00C211AF">
        <w:rPr>
          <w:lang w:val="en-US"/>
        </w:rPr>
        <w:t>Kureková</w:t>
      </w:r>
      <w:proofErr w:type="spellEnd"/>
      <w:r w:rsidRPr="00C211AF">
        <w:rPr>
          <w:lang w:val="en-US"/>
        </w:rPr>
        <w:t>, 2010, ARRA, 2011, Ministry of Education, 2009; and others) refer to a decline in the quality of Slovak higher education. In this matter, several observations are to be made.</w:t>
      </w:r>
    </w:p>
    <w:p w:rsidR="00A14597" w:rsidRPr="00C211AF" w:rsidRDefault="00A14597" w:rsidP="0039254F">
      <w:pPr>
        <w:pStyle w:val="ListParagraph"/>
        <w:ind w:left="0" w:firstLine="709"/>
        <w:jc w:val="both"/>
        <w:rPr>
          <w:lang w:val="en-US"/>
        </w:rPr>
      </w:pPr>
      <w:r w:rsidRPr="00C211AF">
        <w:rPr>
          <w:lang w:val="en-US"/>
        </w:rPr>
        <w:t xml:space="preserve"> First, the increase in the numbers of teachers, associate professors and professors (in the period of 1989-2010) did not keep up with the increase in the student population (Chart </w:t>
      </w:r>
      <w:r w:rsidR="00136681">
        <w:rPr>
          <w:lang w:val="en-US"/>
        </w:rPr>
        <w:t>4</w:t>
      </w:r>
      <w:r w:rsidRPr="00C211AF">
        <w:rPr>
          <w:lang w:val="en-US"/>
        </w:rPr>
        <w:t>, UIPS, 2010) and, as a result, the student-teacher ratio has doubled. The increase of over 100 percent more students per teacher in 2010 compared to 1989 is likely to mean 100 percent more workload for tertiary teachers and general staff. On the other hand, Slovak higher education</w:t>
      </w:r>
      <w:r w:rsidRPr="00C211AF">
        <w:rPr>
          <w:rStyle w:val="googqs-tidbit"/>
          <w:lang w:val="en-US"/>
        </w:rPr>
        <w:t xml:space="preserve"> teachers face approximately the same student-teacher ratios as many other countries in the</w:t>
      </w:r>
      <w:r w:rsidRPr="00C211AF">
        <w:rPr>
          <w:lang w:val="en-US"/>
        </w:rPr>
        <w:t xml:space="preserve"> OECD. In Slovakia, the average student-teacher ratio for tertiary education in 2009 was 15.6 students per teacher compared to the OECD average of 14.9 and EU21 average of 15.5 (OECD Education at a Glance, 2011). </w:t>
      </w:r>
      <w:proofErr w:type="spellStart"/>
      <w:r w:rsidRPr="00C211AF">
        <w:rPr>
          <w:lang w:val="en-US"/>
        </w:rPr>
        <w:t>Palaščáková’s</w:t>
      </w:r>
      <w:proofErr w:type="spellEnd"/>
      <w:r w:rsidRPr="00C211AF">
        <w:rPr>
          <w:lang w:val="en-US"/>
        </w:rPr>
        <w:t xml:space="preserve"> (2008) survey reveals that teachers rate the student-teacher ratio as the most significant quality indicator in tertiary education and therefore they may be discontented with the increased number of students per teacher. </w:t>
      </w:r>
    </w:p>
    <w:p w:rsidR="00A14597" w:rsidRPr="00C211AF" w:rsidRDefault="00A14597" w:rsidP="0039254F">
      <w:pPr>
        <w:pStyle w:val="ListParagraph"/>
        <w:ind w:left="0" w:firstLine="709"/>
        <w:jc w:val="both"/>
        <w:rPr>
          <w:lang w:val="en-US"/>
        </w:rPr>
      </w:pPr>
      <w:r w:rsidRPr="00C211AF">
        <w:rPr>
          <w:lang w:val="en-US"/>
        </w:rPr>
        <w:t xml:space="preserve"> Second, the funding for both tertiary education and research has been declining in the last decade, which is generally claimed to be a significant cause of the deterioration of Slovak universities (</w:t>
      </w:r>
      <w:proofErr w:type="spellStart"/>
      <w:r w:rsidRPr="00C211AF">
        <w:rPr>
          <w:lang w:val="en-US"/>
        </w:rPr>
        <w:t>Palaščáková</w:t>
      </w:r>
      <w:proofErr w:type="spellEnd"/>
      <w:r w:rsidRPr="00C211AF">
        <w:rPr>
          <w:lang w:val="en-US"/>
        </w:rPr>
        <w:t xml:space="preserve">, 2008, </w:t>
      </w:r>
      <w:proofErr w:type="spellStart"/>
      <w:r w:rsidRPr="00C211AF">
        <w:rPr>
          <w:lang w:val="en-US"/>
        </w:rPr>
        <w:t>Čaplánová</w:t>
      </w:r>
      <w:proofErr w:type="spellEnd"/>
      <w:r w:rsidRPr="00C211AF">
        <w:rPr>
          <w:lang w:val="en-US"/>
        </w:rPr>
        <w:t xml:space="preserve">, 2007 and others). Public expenditures on tertiary education, as a percentage of GDP, dropped from 4.18% in 1999 to 3.62% in 2007 (Eurostat) and, similarly, the expenditure per tertiary student (% of GDP per capita) dropped from 32.9% in 1999 to 24% in 2005 (World Bank). </w:t>
      </w:r>
      <w:r w:rsidR="00136681">
        <w:rPr>
          <w:lang w:val="en-US"/>
        </w:rPr>
        <w:t>T</w:t>
      </w:r>
      <w:r w:rsidRPr="00C211AF">
        <w:rPr>
          <w:lang w:val="en-US"/>
        </w:rPr>
        <w:t xml:space="preserve">he low funding of tertiary education is one of the reasons that negatively </w:t>
      </w:r>
      <w:proofErr w:type="gramStart"/>
      <w:r w:rsidRPr="00C211AF">
        <w:rPr>
          <w:lang w:val="en-US"/>
        </w:rPr>
        <w:t>influences</w:t>
      </w:r>
      <w:proofErr w:type="gramEnd"/>
      <w:r w:rsidRPr="00C211AF">
        <w:rPr>
          <w:lang w:val="en-US"/>
        </w:rPr>
        <w:t xml:space="preserve"> the quality of tertiary education.</w:t>
      </w:r>
      <w:r w:rsidRPr="00C211AF">
        <w:rPr>
          <w:rStyle w:val="FootnoteReference"/>
          <w:lang w:val="en-US"/>
        </w:rPr>
        <w:t xml:space="preserve"> </w:t>
      </w:r>
    </w:p>
    <w:p w:rsidR="00A14597" w:rsidRPr="00C211AF" w:rsidRDefault="00A14597" w:rsidP="0039254F">
      <w:pPr>
        <w:pStyle w:val="ListParagraph"/>
        <w:ind w:left="0" w:firstLine="709"/>
        <w:jc w:val="both"/>
        <w:rPr>
          <w:lang w:val="en-US"/>
        </w:rPr>
      </w:pPr>
      <w:r w:rsidRPr="00C211AF">
        <w:rPr>
          <w:lang w:val="en-US"/>
        </w:rPr>
        <w:t xml:space="preserve">Third, the analysis of </w:t>
      </w:r>
      <w:proofErr w:type="spellStart"/>
      <w:r w:rsidRPr="00C211AF">
        <w:rPr>
          <w:lang w:val="en-US"/>
        </w:rPr>
        <w:t>Klas</w:t>
      </w:r>
      <w:proofErr w:type="spellEnd"/>
      <w:r w:rsidRPr="00C211AF">
        <w:rPr>
          <w:lang w:val="en-US"/>
        </w:rPr>
        <w:t xml:space="preserve"> (2011) points out that the real wage of a secondary educated person grew faster (1.4 times) within the period of 2000 and 2008 than the real wage of a tertiary educated worker (1.3 times) which indicates that highly-skilled workers contribute less to the benefit of economic growth and the knowledge-economy development.</w:t>
      </w:r>
    </w:p>
    <w:p w:rsidR="00A14597" w:rsidRPr="00C211AF" w:rsidRDefault="00A14597" w:rsidP="0039254F">
      <w:pPr>
        <w:pStyle w:val="ListParagraph"/>
        <w:ind w:left="0"/>
        <w:jc w:val="both"/>
        <w:rPr>
          <w:lang w:val="en-US"/>
        </w:rPr>
      </w:pPr>
      <w:r w:rsidRPr="00C211AF">
        <w:rPr>
          <w:lang w:val="en-US"/>
        </w:rPr>
        <w:tab/>
        <w:t>Last, the results of our teachers’ and employers’ surveys</w:t>
      </w:r>
      <w:r w:rsidR="00136681">
        <w:rPr>
          <w:lang w:val="en-US"/>
        </w:rPr>
        <w:t xml:space="preserve"> that we conveyed in the period of April 2011-June 2011</w:t>
      </w:r>
      <w:r w:rsidRPr="00C211AF">
        <w:rPr>
          <w:lang w:val="en-US"/>
        </w:rPr>
        <w:t xml:space="preserve"> are rather critical of the increased numbers of students and HEIs in Slovakia. 59% of teachers </w:t>
      </w:r>
      <w:r w:rsidR="00472892">
        <w:rPr>
          <w:lang w:val="en-US"/>
        </w:rPr>
        <w:t xml:space="preserve">(sample of above 1,300) </w:t>
      </w:r>
      <w:r w:rsidRPr="00C211AF">
        <w:rPr>
          <w:lang w:val="en-US"/>
        </w:rPr>
        <w:t xml:space="preserve">and 64.5% of employers </w:t>
      </w:r>
      <w:r w:rsidR="00472892">
        <w:rPr>
          <w:lang w:val="en-US"/>
        </w:rPr>
        <w:t xml:space="preserve">(sample of above 250) </w:t>
      </w:r>
      <w:r w:rsidRPr="00C211AF">
        <w:rPr>
          <w:lang w:val="en-US"/>
        </w:rPr>
        <w:t xml:space="preserve">think that </w:t>
      </w:r>
      <w:r w:rsidRPr="00C211AF">
        <w:rPr>
          <w:i/>
          <w:lang w:val="en-US"/>
        </w:rPr>
        <w:t>‘</w:t>
      </w:r>
      <w:r w:rsidRPr="00C211AF">
        <w:rPr>
          <w:i/>
          <w:color w:val="000000"/>
          <w:lang w:val="en-US"/>
        </w:rPr>
        <w:t>there are too many university educated people in Slovakia for the needs of the job market</w:t>
      </w:r>
      <w:r w:rsidRPr="00C211AF">
        <w:rPr>
          <w:color w:val="000000"/>
          <w:lang w:val="en-US"/>
        </w:rPr>
        <w:t xml:space="preserve">‘ and 64% of teachers think that </w:t>
      </w:r>
      <w:r w:rsidRPr="00C211AF">
        <w:rPr>
          <w:i/>
          <w:lang w:val="en-US"/>
        </w:rPr>
        <w:t>‘</w:t>
      </w:r>
      <w:r w:rsidRPr="00C211AF">
        <w:rPr>
          <w:i/>
          <w:color w:val="000000"/>
          <w:lang w:val="en-US"/>
        </w:rPr>
        <w:t xml:space="preserve">the competition of the institutions of higher education in Slovakia (expressed as the number of HEIs) is sufficient.‘ </w:t>
      </w:r>
      <w:r w:rsidRPr="00C211AF">
        <w:rPr>
          <w:color w:val="000000"/>
          <w:lang w:val="en-US"/>
        </w:rPr>
        <w:t>Obviously, Slovak</w:t>
      </w:r>
      <w:r w:rsidRPr="00C211AF">
        <w:rPr>
          <w:lang w:val="en-US"/>
        </w:rPr>
        <w:t xml:space="preserve"> teachers and employers share a different opinion than government officials and believe that the number of tertiary educated people is sufficient. Therefore, the target of Europe 2020 that 40% of 30-34 year-olds </w:t>
      </w:r>
      <w:proofErr w:type="gramStart"/>
      <w:r w:rsidRPr="00C211AF">
        <w:rPr>
          <w:lang w:val="en-US"/>
        </w:rPr>
        <w:t>have</w:t>
      </w:r>
      <w:proofErr w:type="gramEnd"/>
      <w:r w:rsidRPr="00C211AF">
        <w:rPr>
          <w:lang w:val="en-US"/>
        </w:rPr>
        <w:t xml:space="preserve"> a tertiary education does not seem to be supported by people who work most closely with education. What’s even more alarming is the fact that both teachers and employers express dissatisfaction with the quality of Slovak higher education. Only 34% of teachers agree that </w:t>
      </w:r>
      <w:r w:rsidRPr="00C211AF">
        <w:rPr>
          <w:i/>
          <w:lang w:val="en-US"/>
        </w:rPr>
        <w:t>the quality of tertiary education is better now than in the past</w:t>
      </w:r>
      <w:r w:rsidRPr="00C211AF">
        <w:rPr>
          <w:lang w:val="en-US"/>
        </w:rPr>
        <w:t xml:space="preserve">. In terms of employers’ responses, </w:t>
      </w:r>
      <w:r w:rsidRPr="00C211AF">
        <w:rPr>
          <w:color w:val="000000"/>
          <w:lang w:val="en-US"/>
        </w:rPr>
        <w:t xml:space="preserve">41.6% of them agree with the statement that </w:t>
      </w:r>
      <w:r w:rsidRPr="00C211AF">
        <w:rPr>
          <w:i/>
          <w:color w:val="000000"/>
          <w:lang w:val="en-US"/>
        </w:rPr>
        <w:t xml:space="preserve">University alumni are better prepared to succeed in the job market nowadays than they were in the past </w:t>
      </w:r>
      <w:r w:rsidRPr="00C211AF">
        <w:rPr>
          <w:color w:val="000000"/>
          <w:lang w:val="en-US"/>
        </w:rPr>
        <w:t>and o</w:t>
      </w:r>
      <w:r w:rsidRPr="00C211AF">
        <w:rPr>
          <w:lang w:val="en-US"/>
        </w:rPr>
        <w:t xml:space="preserve">nly 39% agree that </w:t>
      </w:r>
      <w:r w:rsidRPr="00C211AF">
        <w:rPr>
          <w:i/>
          <w:lang w:val="en-US"/>
        </w:rPr>
        <w:t>their employees with university education are more productive than their counterparts with high school education</w:t>
      </w:r>
      <w:r w:rsidRPr="00C211AF">
        <w:rPr>
          <w:lang w:val="en-US"/>
        </w:rPr>
        <w:t xml:space="preserve">. </w:t>
      </w:r>
    </w:p>
    <w:p w:rsidR="00F61BB6" w:rsidRPr="00C211AF" w:rsidRDefault="00F61BB6" w:rsidP="0039254F">
      <w:pPr>
        <w:pStyle w:val="ListParagraph"/>
        <w:ind w:left="0"/>
        <w:jc w:val="both"/>
        <w:rPr>
          <w:lang w:val="en-US"/>
        </w:rPr>
      </w:pPr>
    </w:p>
    <w:p w:rsidR="00F61BB6" w:rsidRPr="00C211AF" w:rsidRDefault="00F61BB6" w:rsidP="00F61BB6">
      <w:pPr>
        <w:pStyle w:val="ListParagraph"/>
        <w:ind w:left="0"/>
        <w:rPr>
          <w:rFonts w:eastAsia="Calibri"/>
          <w:b/>
          <w:lang w:val="en-US"/>
        </w:rPr>
      </w:pPr>
      <w:r w:rsidRPr="00C211AF">
        <w:rPr>
          <w:rFonts w:eastAsia="Calibri"/>
          <w:b/>
          <w:lang w:val="en-US"/>
        </w:rPr>
        <w:t xml:space="preserve">Chart </w:t>
      </w:r>
      <w:r w:rsidR="00136681">
        <w:rPr>
          <w:rFonts w:eastAsia="Calibri"/>
          <w:b/>
          <w:lang w:val="en-US"/>
        </w:rPr>
        <w:t>5</w:t>
      </w:r>
      <w:r w:rsidRPr="00C211AF">
        <w:rPr>
          <w:rFonts w:eastAsia="Calibri"/>
          <w:b/>
          <w:lang w:val="en-US"/>
        </w:rPr>
        <w:t>: The results of teachers’ survey regarding the numbers of students and the quality of tertiary education in Slovakia</w:t>
      </w:r>
    </w:p>
    <w:p w:rsidR="00F61BB6" w:rsidRPr="00C211AF" w:rsidRDefault="00F61BB6" w:rsidP="00F61BB6">
      <w:pPr>
        <w:pStyle w:val="ListParagraph"/>
        <w:ind w:left="0"/>
        <w:rPr>
          <w:rFonts w:eastAsia="Calibri"/>
          <w:lang w:val="en-US"/>
        </w:rPr>
      </w:pPr>
      <w:r w:rsidRPr="00C211AF">
        <w:rPr>
          <w:rFonts w:eastAsia="Calibri"/>
          <w:lang w:val="en-US" w:eastAsia="en-US"/>
        </w:rPr>
        <w:drawing>
          <wp:inline distT="0" distB="0" distL="0" distR="0" wp14:anchorId="597AF324" wp14:editId="5CCE852B">
            <wp:extent cx="5559425" cy="2399665"/>
            <wp:effectExtent l="0" t="0" r="22225" b="1968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1BB6" w:rsidRPr="00C211AF" w:rsidRDefault="00F61BB6" w:rsidP="00F61BB6">
      <w:pPr>
        <w:pStyle w:val="ListParagraph"/>
        <w:spacing w:after="240"/>
        <w:ind w:left="0"/>
        <w:rPr>
          <w:rFonts w:eastAsia="Calibri"/>
          <w:lang w:val="en-US"/>
        </w:rPr>
      </w:pPr>
      <w:r w:rsidRPr="00C211AF">
        <w:rPr>
          <w:rFonts w:eastAsia="Calibri"/>
          <w:lang w:val="en-US"/>
        </w:rPr>
        <w:t>Source: own survey (1387, 1395 and 1404 respondents respectively)</w:t>
      </w:r>
    </w:p>
    <w:p w:rsidR="00F61BB6" w:rsidRPr="00C211AF" w:rsidRDefault="00F61BB6" w:rsidP="00F61BB6">
      <w:pPr>
        <w:pStyle w:val="ListParagraph"/>
        <w:spacing w:after="240"/>
        <w:ind w:left="0"/>
        <w:rPr>
          <w:rFonts w:eastAsia="Calibri"/>
          <w:lang w:val="en-US"/>
        </w:rPr>
      </w:pPr>
    </w:p>
    <w:p w:rsidR="00F61BB6" w:rsidRPr="00C211AF" w:rsidRDefault="00F61BB6" w:rsidP="00F61BB6">
      <w:pPr>
        <w:pStyle w:val="ListParagraph"/>
        <w:ind w:left="0"/>
        <w:rPr>
          <w:rFonts w:eastAsia="Calibri"/>
          <w:b/>
          <w:lang w:val="en-US"/>
        </w:rPr>
      </w:pPr>
      <w:r w:rsidRPr="00C211AF">
        <w:rPr>
          <w:rFonts w:eastAsia="Calibri"/>
          <w:b/>
          <w:lang w:val="en-US"/>
        </w:rPr>
        <w:t xml:space="preserve">Chart </w:t>
      </w:r>
      <w:r w:rsidR="00472892">
        <w:rPr>
          <w:rFonts w:eastAsia="Calibri"/>
          <w:b/>
          <w:lang w:val="en-US"/>
        </w:rPr>
        <w:t>6</w:t>
      </w:r>
      <w:r w:rsidRPr="00C211AF">
        <w:rPr>
          <w:rFonts w:eastAsia="Calibri"/>
          <w:b/>
          <w:lang w:val="en-US"/>
        </w:rPr>
        <w:t>: The results of employers’ survey regarding the numbers of students and the quality of tertiary education in Slovakia</w:t>
      </w:r>
    </w:p>
    <w:p w:rsidR="00F61BB6" w:rsidRPr="00C211AF" w:rsidRDefault="00F61BB6" w:rsidP="00F61BB6">
      <w:pPr>
        <w:pStyle w:val="ListParagraph"/>
        <w:ind w:left="0"/>
        <w:rPr>
          <w:rFonts w:eastAsia="Calibri"/>
          <w:lang w:val="en-US"/>
        </w:rPr>
      </w:pPr>
      <w:r w:rsidRPr="00C211AF">
        <w:rPr>
          <w:rFonts w:eastAsia="Calibri"/>
          <w:lang w:val="en-US" w:eastAsia="en-US"/>
        </w:rPr>
        <w:drawing>
          <wp:inline distT="0" distB="0" distL="0" distR="0" wp14:anchorId="79D79B55" wp14:editId="5F6F0E7A">
            <wp:extent cx="5559425" cy="2385060"/>
            <wp:effectExtent l="0" t="0" r="22225" b="1524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1BB6" w:rsidRPr="00C211AF" w:rsidRDefault="00F61BB6" w:rsidP="00F61BB6">
      <w:pPr>
        <w:pStyle w:val="ListParagraph"/>
        <w:ind w:left="0"/>
        <w:rPr>
          <w:rFonts w:eastAsia="Calibri"/>
          <w:lang w:val="en-US"/>
        </w:rPr>
      </w:pPr>
      <w:r w:rsidRPr="00C211AF">
        <w:rPr>
          <w:rFonts w:eastAsia="Calibri"/>
          <w:lang w:val="en-US"/>
        </w:rPr>
        <w:t>Source: own survey (279, 274 and 274 respondents respectively)</w:t>
      </w:r>
    </w:p>
    <w:p w:rsidR="00F61BB6" w:rsidRPr="00C211AF" w:rsidRDefault="00F61BB6" w:rsidP="00F61BB6">
      <w:pPr>
        <w:pStyle w:val="ListParagraph"/>
        <w:ind w:left="0"/>
        <w:rPr>
          <w:lang w:val="en-US"/>
        </w:rPr>
      </w:pPr>
      <w:r w:rsidRPr="00C211AF">
        <w:rPr>
          <w:rFonts w:eastAsia="Calibri"/>
          <w:lang w:val="en-US"/>
        </w:rPr>
        <w:tab/>
      </w:r>
    </w:p>
    <w:p w:rsidR="00A14597" w:rsidRDefault="00A14597" w:rsidP="0039254F">
      <w:pPr>
        <w:ind w:right="284" w:firstLine="709"/>
        <w:jc w:val="both"/>
      </w:pPr>
      <w:r w:rsidRPr="00C211AF">
        <w:t xml:space="preserve">This section provided us with many negatives of the increased tertiary education. It is evident that the increase of tertiary educated people does not seem to be supported by people who have the most to say about the education. Also, the quality of tertiary education seems to be negatively affected which supports our hypothesis that ‘a rise in tertiary attainment has not been accompanied with a rise in quality education in Slovakia’. </w:t>
      </w:r>
    </w:p>
    <w:p w:rsidR="00D64FE8" w:rsidRDefault="00D64FE8" w:rsidP="0039254F">
      <w:pPr>
        <w:ind w:right="284" w:firstLine="709"/>
        <w:jc w:val="both"/>
      </w:pPr>
    </w:p>
    <w:p w:rsidR="00D64FE8" w:rsidRPr="00C211AF" w:rsidRDefault="00D64FE8" w:rsidP="0039254F">
      <w:pPr>
        <w:ind w:right="284" w:firstLine="709"/>
        <w:jc w:val="both"/>
      </w:pPr>
    </w:p>
    <w:p w:rsidR="00A14597" w:rsidRPr="00C211AF" w:rsidRDefault="00A14597" w:rsidP="0039254F">
      <w:pPr>
        <w:pStyle w:val="Heading4"/>
        <w:spacing w:after="240"/>
        <w:rPr>
          <w:rFonts w:ascii="Times New Roman" w:hAnsi="Times New Roman"/>
          <w:i w:val="0"/>
          <w:color w:val="auto"/>
        </w:rPr>
      </w:pPr>
      <w:r w:rsidRPr="00C211AF">
        <w:rPr>
          <w:rFonts w:ascii="Times New Roman" w:hAnsi="Times New Roman"/>
          <w:i w:val="0"/>
          <w:color w:val="auto"/>
        </w:rPr>
        <w:lastRenderedPageBreak/>
        <w:t>Conclusions and recommendations</w:t>
      </w:r>
    </w:p>
    <w:p w:rsidR="00A14597" w:rsidRDefault="00A14597" w:rsidP="0039254F">
      <w:pPr>
        <w:pStyle w:val="ListParagraph"/>
        <w:ind w:left="0" w:firstLine="708"/>
        <w:jc w:val="both"/>
        <w:rPr>
          <w:lang w:val="en-US"/>
        </w:rPr>
      </w:pPr>
      <w:r w:rsidRPr="00C211AF">
        <w:rPr>
          <w:lang w:val="en-US"/>
        </w:rPr>
        <w:t>Based on our previous analysis, Slovak higher education does seem to have more pressing problems with its quality rather than quantity. The p</w:t>
      </w:r>
      <w:r w:rsidR="00D64FE8">
        <w:rPr>
          <w:lang w:val="en-US"/>
        </w:rPr>
        <w:t>lan</w:t>
      </w:r>
      <w:r w:rsidRPr="00C211AF">
        <w:rPr>
          <w:lang w:val="en-US"/>
        </w:rPr>
        <w:t xml:space="preserve"> is that there will be 40% of tertiary educated people aged 30-34 in Slovakia in 2020 which would be in line with the Europe 2020 </w:t>
      </w:r>
      <w:r w:rsidR="00D64FE8">
        <w:rPr>
          <w:lang w:val="en-US"/>
        </w:rPr>
        <w:t>headline target</w:t>
      </w:r>
      <w:r w:rsidRPr="00C211AF">
        <w:rPr>
          <w:lang w:val="en-US"/>
        </w:rPr>
        <w:t xml:space="preserve">.  </w:t>
      </w:r>
      <w:r w:rsidRPr="00C211AF">
        <w:rPr>
          <w:rStyle w:val="st1"/>
          <w:lang w:val="en-US"/>
        </w:rPr>
        <w:t>There is no doubt that this target is important for the development of human capital in terms of a knowledge economy and if achieved, it would bring many positives to Slovakia and other EU countries that achieve it. On the other hand, as our analysis proves, there are many negatives of such a rapid increase in the tertiary attainment such as increased student-faculty ratio, insufficient funding and most important, the fact that the quality of Slovak higher education is often rated as deteriorating. For these reasons, we dare to critique the Europe 2020 headline target of increased tertiary attainment (as well as the National Program Reform) and i</w:t>
      </w:r>
      <w:r w:rsidRPr="00C211AF">
        <w:rPr>
          <w:lang w:val="en-US"/>
        </w:rPr>
        <w:t xml:space="preserve">nstead lean towards a lower increase on the educated workforce with an emphasis on the quality of the higher education.  </w:t>
      </w:r>
    </w:p>
    <w:p w:rsidR="00472892" w:rsidRPr="00C211AF" w:rsidRDefault="00472892" w:rsidP="0039254F">
      <w:pPr>
        <w:pStyle w:val="ListParagraph"/>
        <w:ind w:left="0" w:firstLine="708"/>
        <w:jc w:val="both"/>
        <w:rPr>
          <w:rStyle w:val="st1"/>
          <w:lang w:val="en-US"/>
        </w:rPr>
      </w:pPr>
    </w:p>
    <w:p w:rsidR="00522A3A" w:rsidRDefault="00AB1A8B"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Default="00D64FE8" w:rsidP="0039254F"/>
    <w:p w:rsidR="00D64FE8" w:rsidRPr="008A1443" w:rsidRDefault="00D64FE8" w:rsidP="008A1443">
      <w:pPr>
        <w:pStyle w:val="Heading4"/>
        <w:spacing w:after="240"/>
        <w:rPr>
          <w:rFonts w:ascii="Times New Roman" w:hAnsi="Times New Roman"/>
          <w:i w:val="0"/>
          <w:color w:val="auto"/>
        </w:rPr>
      </w:pPr>
      <w:r w:rsidRPr="008A1443">
        <w:rPr>
          <w:rFonts w:ascii="Times New Roman" w:hAnsi="Times New Roman"/>
          <w:i w:val="0"/>
          <w:color w:val="auto"/>
        </w:rPr>
        <w:lastRenderedPageBreak/>
        <w:t>Literature</w:t>
      </w:r>
      <w:bookmarkStart w:id="6" w:name="_GoBack"/>
      <w:bookmarkEnd w:id="6"/>
    </w:p>
    <w:p w:rsidR="008A1443" w:rsidRPr="008A1443" w:rsidRDefault="008A1443" w:rsidP="008A1443">
      <w:pPr>
        <w:spacing w:after="240"/>
        <w:jc w:val="both"/>
      </w:pPr>
      <w:proofErr w:type="gramStart"/>
      <w:r w:rsidRPr="008A1443">
        <w:t>ACADEMIC RANKING AND RATING AGENCY (ARRA).</w:t>
      </w:r>
      <w:proofErr w:type="gramEnd"/>
      <w:r w:rsidRPr="008A1443">
        <w:t xml:space="preserve"> 2011. </w:t>
      </w:r>
      <w:r w:rsidRPr="008A1443">
        <w:rPr>
          <w:bCs/>
          <w:kern w:val="36"/>
        </w:rPr>
        <w:t>[</w:t>
      </w:r>
      <w:proofErr w:type="gramStart"/>
      <w:r w:rsidRPr="008A1443">
        <w:rPr>
          <w:bCs/>
          <w:kern w:val="36"/>
        </w:rPr>
        <w:t>online</w:t>
      </w:r>
      <w:proofErr w:type="gramEnd"/>
      <w:r w:rsidRPr="008A1443">
        <w:rPr>
          <w:bCs/>
          <w:kern w:val="36"/>
        </w:rPr>
        <w:t xml:space="preserve">] </w:t>
      </w:r>
      <w:r w:rsidRPr="008A1443">
        <w:t>Retrieved July 15, 2011 at &lt;</w:t>
      </w:r>
      <w:hyperlink r:id="rId16" w:history="1">
        <w:r w:rsidRPr="008A1443">
          <w:rPr>
            <w:rStyle w:val="Hyperlink"/>
            <w:color w:val="auto"/>
            <w:u w:val="none"/>
          </w:rPr>
          <w:t>http://arra.sk</w:t>
        </w:r>
      </w:hyperlink>
      <w:r w:rsidRPr="008A1443">
        <w:t>&gt;</w:t>
      </w:r>
    </w:p>
    <w:p w:rsidR="008A1443" w:rsidRPr="008A1443" w:rsidRDefault="008A1443" w:rsidP="008A1443">
      <w:pPr>
        <w:pStyle w:val="NormalWeb"/>
        <w:jc w:val="both"/>
        <w:rPr>
          <w:lang w:val="en-US" w:eastAsia="cs-CZ"/>
        </w:rPr>
      </w:pPr>
      <w:r w:rsidRPr="008A1443">
        <w:rPr>
          <w:lang w:val="en-US" w:eastAsia="cs-CZ"/>
        </w:rPr>
        <w:t xml:space="preserve">BECKER, G. </w:t>
      </w:r>
      <w:r w:rsidRPr="008A1443">
        <w:rPr>
          <w:rStyle w:val="citation"/>
          <w:lang w:val="en"/>
        </w:rPr>
        <w:t xml:space="preserve">1964. </w:t>
      </w:r>
      <w:r w:rsidRPr="008A1443">
        <w:rPr>
          <w:rStyle w:val="citation"/>
          <w:i/>
          <w:iCs/>
          <w:lang w:val="en"/>
        </w:rPr>
        <w:t>Human Capital: A Theoretical and Empirical Analysis, with Special Reference to Education.</w:t>
      </w:r>
      <w:r w:rsidRPr="008A1443">
        <w:rPr>
          <w:rStyle w:val="citation"/>
          <w:lang w:val="en"/>
        </w:rPr>
        <w:t xml:space="preserve"> Chicago, University of Chicago Press. </w:t>
      </w:r>
      <w:hyperlink r:id="rId17" w:tooltip="International Standard Book Number" w:history="1">
        <w:proofErr w:type="gramStart"/>
        <w:r w:rsidRPr="008A1443">
          <w:rPr>
            <w:rStyle w:val="Hyperlink"/>
            <w:color w:val="auto"/>
            <w:u w:val="none"/>
            <w:lang w:val="en"/>
          </w:rPr>
          <w:t>ISBN</w:t>
        </w:r>
      </w:hyperlink>
      <w:r w:rsidRPr="008A1443">
        <w:rPr>
          <w:rStyle w:val="citation"/>
          <w:lang w:val="en"/>
        </w:rPr>
        <w:t xml:space="preserve"> </w:t>
      </w:r>
      <w:hyperlink r:id="rId18" w:tooltip="Special:BookSources/978-0-226-04120-9" w:history="1">
        <w:r w:rsidRPr="008A1443">
          <w:rPr>
            <w:rStyle w:val="Hyperlink"/>
            <w:color w:val="auto"/>
            <w:u w:val="none"/>
            <w:lang w:val="en"/>
          </w:rPr>
          <w:t>978-0-226-04120-9</w:t>
        </w:r>
      </w:hyperlink>
      <w:r w:rsidRPr="008A1443">
        <w:rPr>
          <w:rStyle w:val="citation"/>
          <w:lang w:val="en"/>
        </w:rPr>
        <w:t>.</w:t>
      </w:r>
      <w:proofErr w:type="gramEnd"/>
      <w:r w:rsidRPr="008A1443">
        <w:rPr>
          <w:rStyle w:val="z3988"/>
          <w:vanish/>
          <w:lang w:val="en"/>
        </w:rPr>
        <w:t xml:space="preserve"> </w:t>
      </w:r>
    </w:p>
    <w:p w:rsidR="008A1443" w:rsidRPr="008A1443" w:rsidRDefault="008A1443" w:rsidP="008A1443">
      <w:pPr>
        <w:pStyle w:val="NormalWeb"/>
        <w:jc w:val="both"/>
        <w:rPr>
          <w:lang w:val="en-US" w:eastAsia="cs-CZ"/>
        </w:rPr>
      </w:pPr>
      <w:r w:rsidRPr="008A1443">
        <w:rPr>
          <w:lang w:val="en-US" w:eastAsia="cs-CZ"/>
        </w:rPr>
        <w:t xml:space="preserve">BELOVICSOVÁ, D. 2010. </w:t>
      </w:r>
      <w:proofErr w:type="spellStart"/>
      <w:r w:rsidRPr="008A1443">
        <w:rPr>
          <w:lang w:val="en-US" w:eastAsia="cs-CZ"/>
        </w:rPr>
        <w:t>Efektívnosť</w:t>
      </w:r>
      <w:proofErr w:type="spellEnd"/>
      <w:r w:rsidRPr="008A1443">
        <w:rPr>
          <w:lang w:val="en-US" w:eastAsia="cs-CZ"/>
        </w:rPr>
        <w:t xml:space="preserve"> </w:t>
      </w:r>
      <w:proofErr w:type="spellStart"/>
      <w:r w:rsidRPr="008A1443">
        <w:rPr>
          <w:lang w:val="en-US" w:eastAsia="cs-CZ"/>
        </w:rPr>
        <w:t>výdavkov</w:t>
      </w:r>
      <w:proofErr w:type="spellEnd"/>
      <w:r w:rsidRPr="008A1443">
        <w:rPr>
          <w:lang w:val="en-US" w:eastAsia="cs-CZ"/>
        </w:rPr>
        <w:t xml:space="preserve"> </w:t>
      </w:r>
      <w:proofErr w:type="spellStart"/>
      <w:proofErr w:type="gramStart"/>
      <w:r w:rsidRPr="008A1443">
        <w:rPr>
          <w:lang w:val="en-US" w:eastAsia="cs-CZ"/>
        </w:rPr>
        <w:t>na</w:t>
      </w:r>
      <w:proofErr w:type="spellEnd"/>
      <w:proofErr w:type="gramEnd"/>
      <w:r w:rsidRPr="008A1443">
        <w:rPr>
          <w:lang w:val="en-US" w:eastAsia="cs-CZ"/>
        </w:rPr>
        <w:t xml:space="preserve"> </w:t>
      </w:r>
      <w:proofErr w:type="spellStart"/>
      <w:r w:rsidRPr="008A1443">
        <w:rPr>
          <w:lang w:val="en-US" w:eastAsia="cs-CZ"/>
        </w:rPr>
        <w:t>vysokoškolské</w:t>
      </w:r>
      <w:proofErr w:type="spellEnd"/>
      <w:r w:rsidRPr="008A1443">
        <w:rPr>
          <w:lang w:val="en-US" w:eastAsia="cs-CZ"/>
        </w:rPr>
        <w:t xml:space="preserve"> </w:t>
      </w:r>
      <w:proofErr w:type="spellStart"/>
      <w:r w:rsidRPr="008A1443">
        <w:rPr>
          <w:lang w:val="en-US" w:eastAsia="cs-CZ"/>
        </w:rPr>
        <w:t>vzdelanie</w:t>
      </w:r>
      <w:proofErr w:type="spellEnd"/>
      <w:r w:rsidRPr="008A1443">
        <w:rPr>
          <w:lang w:val="en-US" w:eastAsia="cs-CZ"/>
        </w:rPr>
        <w:t xml:space="preserve"> z </w:t>
      </w:r>
      <w:proofErr w:type="spellStart"/>
      <w:r w:rsidRPr="008A1443">
        <w:rPr>
          <w:lang w:val="en-US" w:eastAsia="cs-CZ"/>
        </w:rPr>
        <w:t>pohľadu</w:t>
      </w:r>
      <w:proofErr w:type="spellEnd"/>
      <w:r w:rsidRPr="008A1443">
        <w:rPr>
          <w:lang w:val="en-US" w:eastAsia="cs-CZ"/>
        </w:rPr>
        <w:t xml:space="preserve"> </w:t>
      </w:r>
      <w:proofErr w:type="spellStart"/>
      <w:r w:rsidRPr="008A1443">
        <w:rPr>
          <w:lang w:val="en-US" w:eastAsia="cs-CZ"/>
        </w:rPr>
        <w:t>ich</w:t>
      </w:r>
      <w:proofErr w:type="spellEnd"/>
      <w:r w:rsidRPr="008A1443">
        <w:rPr>
          <w:lang w:val="en-US" w:eastAsia="cs-CZ"/>
        </w:rPr>
        <w:t xml:space="preserve"> </w:t>
      </w:r>
      <w:proofErr w:type="spellStart"/>
      <w:r w:rsidRPr="008A1443">
        <w:rPr>
          <w:lang w:val="en-US" w:eastAsia="cs-CZ"/>
        </w:rPr>
        <w:t>návratnosti</w:t>
      </w:r>
      <w:proofErr w:type="spellEnd"/>
      <w:r w:rsidRPr="008A1443">
        <w:rPr>
          <w:lang w:val="en-US" w:eastAsia="cs-CZ"/>
        </w:rPr>
        <w:t xml:space="preserve">. </w:t>
      </w:r>
      <w:proofErr w:type="gramStart"/>
      <w:r w:rsidRPr="008A1443">
        <w:rPr>
          <w:lang w:val="en-US" w:eastAsia="cs-CZ"/>
        </w:rPr>
        <w:t xml:space="preserve">In </w:t>
      </w:r>
      <w:proofErr w:type="spellStart"/>
      <w:r w:rsidRPr="008A1443">
        <w:rPr>
          <w:i/>
          <w:lang w:val="en-US" w:eastAsia="cs-CZ"/>
        </w:rPr>
        <w:t>Ekonomické</w:t>
      </w:r>
      <w:proofErr w:type="spellEnd"/>
      <w:r w:rsidRPr="008A1443">
        <w:rPr>
          <w:i/>
          <w:lang w:val="en-US" w:eastAsia="cs-CZ"/>
        </w:rPr>
        <w:t xml:space="preserve"> </w:t>
      </w:r>
      <w:proofErr w:type="spellStart"/>
      <w:r w:rsidRPr="008A1443">
        <w:rPr>
          <w:i/>
          <w:lang w:val="en-US" w:eastAsia="cs-CZ"/>
        </w:rPr>
        <w:t>spektrum</w:t>
      </w:r>
      <w:proofErr w:type="spellEnd"/>
      <w:r w:rsidRPr="008A1443">
        <w:rPr>
          <w:lang w:val="en-US" w:eastAsia="cs-CZ"/>
        </w:rPr>
        <w:t>.</w:t>
      </w:r>
      <w:proofErr w:type="gramEnd"/>
      <w:r w:rsidRPr="008A1443">
        <w:rPr>
          <w:lang w:val="en-US" w:eastAsia="cs-CZ"/>
        </w:rPr>
        <w:t xml:space="preserve"> </w:t>
      </w:r>
      <w:proofErr w:type="spellStart"/>
      <w:proofErr w:type="gramStart"/>
      <w:r w:rsidRPr="008A1443">
        <w:rPr>
          <w:lang w:val="en-US" w:eastAsia="cs-CZ"/>
        </w:rPr>
        <w:t>Ročník</w:t>
      </w:r>
      <w:proofErr w:type="spellEnd"/>
      <w:r w:rsidRPr="008A1443">
        <w:rPr>
          <w:lang w:val="en-US" w:eastAsia="cs-CZ"/>
        </w:rPr>
        <w:t xml:space="preserve"> 5, č. 2/3, 2010.</w:t>
      </w:r>
      <w:proofErr w:type="gramEnd"/>
    </w:p>
    <w:p w:rsidR="008A1443" w:rsidRPr="008A1443" w:rsidRDefault="008A1443" w:rsidP="008A1443">
      <w:pPr>
        <w:spacing w:before="100" w:beforeAutospacing="1" w:after="100" w:afterAutospacing="1"/>
        <w:jc w:val="both"/>
      </w:pPr>
      <w:proofErr w:type="gramStart"/>
      <w:r w:rsidRPr="008A1443">
        <w:rPr>
          <w:rStyle w:val="ft"/>
          <w:bCs/>
        </w:rPr>
        <w:t>ČAPLÁNOVÁ</w:t>
      </w:r>
      <w:r w:rsidRPr="008A1443">
        <w:rPr>
          <w:rStyle w:val="ft"/>
        </w:rPr>
        <w:t>, A. 2007.</w:t>
      </w:r>
      <w:proofErr w:type="gramEnd"/>
      <w:r w:rsidRPr="008A1443">
        <w:rPr>
          <w:rStyle w:val="ft"/>
        </w:rPr>
        <w:t xml:space="preserve"> </w:t>
      </w:r>
      <w:proofErr w:type="spellStart"/>
      <w:proofErr w:type="gramStart"/>
      <w:r w:rsidRPr="008A1443">
        <w:rPr>
          <w:rStyle w:val="ft"/>
          <w:bCs/>
        </w:rPr>
        <w:t>Vysokoškolské</w:t>
      </w:r>
      <w:proofErr w:type="spellEnd"/>
      <w:r w:rsidRPr="008A1443">
        <w:rPr>
          <w:rStyle w:val="ft"/>
          <w:bCs/>
        </w:rPr>
        <w:t xml:space="preserve"> </w:t>
      </w:r>
      <w:proofErr w:type="spellStart"/>
      <w:r w:rsidRPr="008A1443">
        <w:rPr>
          <w:rStyle w:val="ft"/>
          <w:bCs/>
        </w:rPr>
        <w:t>vzdelávanie</w:t>
      </w:r>
      <w:proofErr w:type="spellEnd"/>
      <w:r w:rsidRPr="008A1443">
        <w:rPr>
          <w:rStyle w:val="ft"/>
          <w:bCs/>
        </w:rPr>
        <w:t xml:space="preserve"> vs</w:t>
      </w:r>
      <w:r w:rsidRPr="008A1443">
        <w:rPr>
          <w:rStyle w:val="ft"/>
        </w:rPr>
        <w:t xml:space="preserve">. </w:t>
      </w:r>
      <w:proofErr w:type="spellStart"/>
      <w:r w:rsidRPr="008A1443">
        <w:rPr>
          <w:rStyle w:val="ft"/>
          <w:bCs/>
        </w:rPr>
        <w:t>znalostná</w:t>
      </w:r>
      <w:proofErr w:type="spellEnd"/>
      <w:r w:rsidRPr="008A1443">
        <w:rPr>
          <w:rStyle w:val="ft"/>
          <w:bCs/>
        </w:rPr>
        <w:t xml:space="preserve"> </w:t>
      </w:r>
      <w:proofErr w:type="spellStart"/>
      <w:r w:rsidRPr="008A1443">
        <w:rPr>
          <w:rStyle w:val="ft"/>
          <w:bCs/>
        </w:rPr>
        <w:t>ekonomika</w:t>
      </w:r>
      <w:proofErr w:type="spellEnd"/>
      <w:r w:rsidRPr="008A1443">
        <w:rPr>
          <w:rStyle w:val="ft"/>
        </w:rPr>
        <w:t>.</w:t>
      </w:r>
      <w:proofErr w:type="gramEnd"/>
      <w:r w:rsidRPr="008A1443">
        <w:rPr>
          <w:rStyle w:val="ft"/>
        </w:rPr>
        <w:t xml:space="preserve"> In: </w:t>
      </w:r>
      <w:proofErr w:type="spellStart"/>
      <w:r w:rsidRPr="008A1443">
        <w:rPr>
          <w:rStyle w:val="ft"/>
          <w:bCs/>
          <w:i/>
        </w:rPr>
        <w:t>Nové</w:t>
      </w:r>
      <w:proofErr w:type="spellEnd"/>
      <w:r w:rsidRPr="008A1443">
        <w:rPr>
          <w:rStyle w:val="ft"/>
          <w:bCs/>
          <w:i/>
        </w:rPr>
        <w:t xml:space="preserve"> trendy</w:t>
      </w:r>
      <w:r w:rsidRPr="008A1443">
        <w:rPr>
          <w:rStyle w:val="ft"/>
          <w:i/>
        </w:rPr>
        <w:t xml:space="preserve"> – </w:t>
      </w:r>
      <w:proofErr w:type="spellStart"/>
      <w:r w:rsidRPr="008A1443">
        <w:rPr>
          <w:rStyle w:val="ft"/>
          <w:bCs/>
          <w:i/>
        </w:rPr>
        <w:t>nové</w:t>
      </w:r>
      <w:proofErr w:type="spellEnd"/>
      <w:r w:rsidRPr="008A1443">
        <w:rPr>
          <w:rStyle w:val="ft"/>
          <w:bCs/>
          <w:i/>
        </w:rPr>
        <w:t xml:space="preserve"> </w:t>
      </w:r>
      <w:proofErr w:type="spellStart"/>
      <w:r w:rsidRPr="008A1443">
        <w:rPr>
          <w:rStyle w:val="ft"/>
          <w:bCs/>
          <w:i/>
        </w:rPr>
        <w:t>nápady</w:t>
      </w:r>
      <w:proofErr w:type="spellEnd"/>
      <w:r w:rsidRPr="008A1443">
        <w:rPr>
          <w:rStyle w:val="ft"/>
          <w:bCs/>
          <w:i/>
        </w:rPr>
        <w:t xml:space="preserve"> 2007</w:t>
      </w:r>
      <w:r w:rsidRPr="008A1443">
        <w:rPr>
          <w:rStyle w:val="ft"/>
        </w:rPr>
        <w:t xml:space="preserve">. </w:t>
      </w:r>
      <w:proofErr w:type="gramStart"/>
      <w:r w:rsidRPr="008A1443">
        <w:rPr>
          <w:rStyle w:val="ft"/>
        </w:rPr>
        <w:t>New trends – new ideas.</w:t>
      </w:r>
      <w:proofErr w:type="gramEnd"/>
      <w:r w:rsidRPr="008A1443">
        <w:rPr>
          <w:rStyle w:val="ft"/>
        </w:rPr>
        <w:t xml:space="preserve"> </w:t>
      </w:r>
      <w:r w:rsidRPr="008A1443">
        <w:rPr>
          <w:rStyle w:val="ft"/>
          <w:bCs/>
        </w:rPr>
        <w:t>2007</w:t>
      </w:r>
      <w:r w:rsidRPr="008A1443">
        <w:rPr>
          <w:rStyle w:val="ft"/>
        </w:rPr>
        <w:t>, s. 12-13.</w:t>
      </w:r>
    </w:p>
    <w:p w:rsidR="008A1443" w:rsidRPr="008A1443" w:rsidRDefault="008A1443" w:rsidP="008A1443">
      <w:pPr>
        <w:spacing w:before="100" w:beforeAutospacing="1" w:after="100" w:afterAutospacing="1"/>
        <w:jc w:val="both"/>
      </w:pPr>
      <w:proofErr w:type="gramStart"/>
      <w:r w:rsidRPr="008A1443">
        <w:t>ČAPLÁNOVÁ, A. 1999.</w:t>
      </w:r>
      <w:proofErr w:type="gramEnd"/>
      <w:r w:rsidRPr="008A1443">
        <w:t xml:space="preserve"> </w:t>
      </w:r>
      <w:proofErr w:type="spellStart"/>
      <w:proofErr w:type="gramStart"/>
      <w:r w:rsidRPr="008A1443">
        <w:rPr>
          <w:i/>
        </w:rPr>
        <w:t>Ekonómia</w:t>
      </w:r>
      <w:proofErr w:type="spellEnd"/>
      <w:r w:rsidRPr="008A1443">
        <w:rPr>
          <w:i/>
        </w:rPr>
        <w:t xml:space="preserve"> </w:t>
      </w:r>
      <w:proofErr w:type="spellStart"/>
      <w:r w:rsidRPr="008A1443">
        <w:rPr>
          <w:i/>
        </w:rPr>
        <w:t>vzdelávania</w:t>
      </w:r>
      <w:proofErr w:type="spellEnd"/>
      <w:r w:rsidRPr="008A1443">
        <w:rPr>
          <w:i/>
        </w:rPr>
        <w:t xml:space="preserve"> a </w:t>
      </w:r>
      <w:proofErr w:type="spellStart"/>
      <w:r w:rsidRPr="008A1443">
        <w:rPr>
          <w:i/>
        </w:rPr>
        <w:t>tvorba</w:t>
      </w:r>
      <w:proofErr w:type="spellEnd"/>
      <w:r w:rsidRPr="008A1443">
        <w:rPr>
          <w:i/>
        </w:rPr>
        <w:t xml:space="preserve"> </w:t>
      </w:r>
      <w:proofErr w:type="spellStart"/>
      <w:r w:rsidRPr="008A1443">
        <w:rPr>
          <w:i/>
        </w:rPr>
        <w:t>ľudských</w:t>
      </w:r>
      <w:proofErr w:type="spellEnd"/>
      <w:r w:rsidRPr="008A1443">
        <w:rPr>
          <w:i/>
        </w:rPr>
        <w:t xml:space="preserve"> </w:t>
      </w:r>
      <w:proofErr w:type="spellStart"/>
      <w:r w:rsidRPr="008A1443">
        <w:rPr>
          <w:i/>
        </w:rPr>
        <w:t>zdrojov</w:t>
      </w:r>
      <w:proofErr w:type="spellEnd"/>
      <w:r w:rsidRPr="008A1443">
        <w:t>.</w:t>
      </w:r>
      <w:proofErr w:type="gramEnd"/>
      <w:r w:rsidRPr="008A1443">
        <w:t xml:space="preserve"> </w:t>
      </w:r>
      <w:proofErr w:type="spellStart"/>
      <w:proofErr w:type="gramStart"/>
      <w:r w:rsidRPr="008A1443">
        <w:t>Iura</w:t>
      </w:r>
      <w:proofErr w:type="spellEnd"/>
      <w:r w:rsidRPr="008A1443">
        <w:t xml:space="preserve"> Edition.</w:t>
      </w:r>
      <w:proofErr w:type="gramEnd"/>
      <w:r w:rsidRPr="008A1443">
        <w:t xml:space="preserve"> 1999. 132 pages. ISBN: 80-88715-22-9.</w:t>
      </w:r>
    </w:p>
    <w:p w:rsidR="008A1443" w:rsidRPr="008A1443" w:rsidRDefault="008A1443" w:rsidP="008A1443">
      <w:pPr>
        <w:spacing w:after="240"/>
        <w:jc w:val="both"/>
        <w:rPr>
          <w:rStyle w:val="HTMLCite"/>
          <w:i w:val="0"/>
        </w:rPr>
      </w:pPr>
      <w:r w:rsidRPr="008A1443">
        <w:rPr>
          <w:lang w:eastAsia="en-US"/>
        </w:rPr>
        <w:t xml:space="preserve">EDUCATION AT A GLANCE, OECD indicators 2010, </w:t>
      </w:r>
      <w:bookmarkStart w:id="7" w:name="OLE_LINK1"/>
      <w:r w:rsidRPr="008A1443">
        <w:rPr>
          <w:bCs/>
          <w:kern w:val="36"/>
        </w:rPr>
        <w:t xml:space="preserve">[online] </w:t>
      </w:r>
      <w:r w:rsidRPr="008A1443">
        <w:t xml:space="preserve">Retrieved multiple times in 2011 and 2012 at &lt; </w:t>
      </w:r>
      <w:bookmarkEnd w:id="7"/>
      <w:r w:rsidRPr="008A1443">
        <w:t>www.oecd.org/edu/eag2010</w:t>
      </w:r>
      <w:r w:rsidRPr="008A1443">
        <w:rPr>
          <w:rStyle w:val="HTMLCite"/>
        </w:rPr>
        <w:t>&gt;</w:t>
      </w:r>
    </w:p>
    <w:p w:rsidR="008A1443" w:rsidRPr="008A1443" w:rsidRDefault="008A1443" w:rsidP="008A1443">
      <w:pPr>
        <w:spacing w:after="240"/>
        <w:jc w:val="both"/>
      </w:pPr>
      <w:r w:rsidRPr="008A1443">
        <w:t xml:space="preserve">EUROPE 2020. </w:t>
      </w:r>
      <w:r w:rsidRPr="008A1443">
        <w:rPr>
          <w:bCs/>
          <w:kern w:val="36"/>
        </w:rPr>
        <w:t>[</w:t>
      </w:r>
      <w:proofErr w:type="gramStart"/>
      <w:r w:rsidRPr="008A1443">
        <w:rPr>
          <w:bCs/>
          <w:kern w:val="36"/>
        </w:rPr>
        <w:t>online</w:t>
      </w:r>
      <w:proofErr w:type="gramEnd"/>
      <w:r w:rsidRPr="008A1443">
        <w:rPr>
          <w:bCs/>
          <w:kern w:val="36"/>
        </w:rPr>
        <w:t xml:space="preserve">] </w:t>
      </w:r>
      <w:r w:rsidRPr="008A1443">
        <w:t>Retrieved July 28, 2009 at &lt;</w:t>
      </w:r>
      <w:hyperlink r:id="rId19" w:history="1">
        <w:r w:rsidRPr="008A1443">
          <w:rPr>
            <w:rStyle w:val="Hyperlink"/>
            <w:color w:val="auto"/>
            <w:u w:val="none"/>
          </w:rPr>
          <w:t>http://ec.europa.eu/europe2020</w:t>
        </w:r>
      </w:hyperlink>
      <w:r w:rsidRPr="008A1443">
        <w:rPr>
          <w:rStyle w:val="Hyperlink"/>
          <w:color w:val="auto"/>
          <w:u w:val="none"/>
        </w:rPr>
        <w:t>&gt;</w:t>
      </w:r>
    </w:p>
    <w:p w:rsidR="008A1443" w:rsidRPr="008A1443" w:rsidRDefault="008A1443" w:rsidP="008A1443">
      <w:pPr>
        <w:spacing w:after="240"/>
        <w:jc w:val="both"/>
        <w:rPr>
          <w:rStyle w:val="HTMLCite"/>
          <w:rFonts w:eastAsiaTheme="minorHAnsi"/>
          <w:i w:val="0"/>
          <w:iCs w:val="0"/>
          <w:lang w:eastAsia="en-US"/>
        </w:rPr>
      </w:pPr>
      <w:proofErr w:type="gramStart"/>
      <w:r w:rsidRPr="008A1443">
        <w:rPr>
          <w:rStyle w:val="main1"/>
          <w:b w:val="0"/>
          <w:color w:val="auto"/>
        </w:rPr>
        <w:t>FARIDI, M. – MALIK, S. – RAO, I. 2010.</w:t>
      </w:r>
      <w:proofErr w:type="gramEnd"/>
      <w:r w:rsidRPr="008A1443">
        <w:rPr>
          <w:rStyle w:val="main1"/>
          <w:b w:val="0"/>
          <w:color w:val="auto"/>
        </w:rPr>
        <w:t xml:space="preserve"> </w:t>
      </w:r>
      <w:r w:rsidRPr="008A1443">
        <w:rPr>
          <w:bCs/>
        </w:rPr>
        <w:t xml:space="preserve">Impact of education and health on </w:t>
      </w:r>
      <w:proofErr w:type="spellStart"/>
      <w:r w:rsidRPr="008A1443">
        <w:rPr>
          <w:bCs/>
        </w:rPr>
        <w:t>employmnet</w:t>
      </w:r>
      <w:proofErr w:type="spellEnd"/>
      <w:r w:rsidRPr="008A1443">
        <w:rPr>
          <w:bCs/>
        </w:rPr>
        <w:t xml:space="preserve"> in Pakistan: a case study. </w:t>
      </w:r>
      <w:proofErr w:type="gramStart"/>
      <w:r w:rsidRPr="008A1443">
        <w:rPr>
          <w:bCs/>
        </w:rPr>
        <w:t xml:space="preserve">In </w:t>
      </w:r>
      <w:r w:rsidRPr="008A1443">
        <w:rPr>
          <w:rFonts w:eastAsiaTheme="minorHAnsi"/>
          <w:i/>
          <w:lang w:eastAsia="en-US"/>
        </w:rPr>
        <w:t>European Journal of Economics, Finance and Administrative Sciences.</w:t>
      </w:r>
      <w:proofErr w:type="gramEnd"/>
      <w:r w:rsidRPr="008A1443">
        <w:rPr>
          <w:rFonts w:eastAsiaTheme="minorHAnsi"/>
          <w:lang w:eastAsia="en-US"/>
        </w:rPr>
        <w:t xml:space="preserve"> </w:t>
      </w:r>
      <w:r w:rsidRPr="008A1443">
        <w:t>[</w:t>
      </w:r>
      <w:proofErr w:type="gramStart"/>
      <w:r w:rsidRPr="008A1443">
        <w:t>online</w:t>
      </w:r>
      <w:proofErr w:type="gramEnd"/>
      <w:r w:rsidRPr="008A1443">
        <w:t xml:space="preserve">] </w:t>
      </w:r>
      <w:proofErr w:type="gramStart"/>
      <w:r w:rsidRPr="008A1443">
        <w:rPr>
          <w:rFonts w:eastAsiaTheme="minorHAnsi"/>
          <w:lang w:eastAsia="en-US"/>
        </w:rPr>
        <w:t>Issue 18.</w:t>
      </w:r>
      <w:proofErr w:type="gramEnd"/>
      <w:r w:rsidRPr="008A1443">
        <w:rPr>
          <w:rFonts w:eastAsiaTheme="minorHAnsi"/>
          <w:lang w:eastAsia="en-US"/>
        </w:rPr>
        <w:t xml:space="preserve"> 2010.</w:t>
      </w:r>
      <w:r w:rsidRPr="008A1443">
        <w:t xml:space="preserve"> Retrieved May 11, 2010 at &lt;</w:t>
      </w:r>
      <w:hyperlink r:id="rId20" w:history="1">
        <w:r w:rsidRPr="008A1443">
          <w:rPr>
            <w:rStyle w:val="Hyperlink"/>
            <w:rFonts w:eastAsiaTheme="minorHAnsi"/>
            <w:color w:val="auto"/>
            <w:u w:val="none"/>
            <w:lang w:eastAsia="en-US"/>
          </w:rPr>
          <w:t>http://www.eurojournals.com</w:t>
        </w:r>
      </w:hyperlink>
      <w:r w:rsidRPr="008A1443">
        <w:rPr>
          <w:rFonts w:eastAsiaTheme="minorHAnsi"/>
          <w:lang w:eastAsia="en-US"/>
        </w:rPr>
        <w:t xml:space="preserve"> http://www.eurojournals.com/ejefas_18_05.pdf</w:t>
      </w:r>
      <w:r w:rsidRPr="008A1443">
        <w:rPr>
          <w:rStyle w:val="HTMLCite"/>
          <w:i w:val="0"/>
        </w:rPr>
        <w:t xml:space="preserve">&gt;. </w:t>
      </w:r>
      <w:proofErr w:type="gramStart"/>
      <w:r w:rsidRPr="008A1443">
        <w:rPr>
          <w:rFonts w:eastAsiaTheme="minorHAnsi"/>
          <w:lang w:eastAsia="en-US"/>
        </w:rPr>
        <w:t>ISSN 1450-2275.</w:t>
      </w:r>
      <w:proofErr w:type="gramEnd"/>
      <w:r w:rsidRPr="008A1443">
        <w:rPr>
          <w:rFonts w:eastAsiaTheme="minorHAnsi"/>
          <w:lang w:eastAsia="en-US"/>
        </w:rPr>
        <w:t xml:space="preserve"> </w:t>
      </w:r>
    </w:p>
    <w:p w:rsidR="008A1443" w:rsidRPr="008A1443" w:rsidRDefault="008A1443" w:rsidP="008A1443">
      <w:pPr>
        <w:spacing w:after="240"/>
        <w:jc w:val="both"/>
      </w:pPr>
      <w:r w:rsidRPr="008A1443">
        <w:rPr>
          <w:rStyle w:val="HTMLCite"/>
          <w:i w:val="0"/>
        </w:rPr>
        <w:t xml:space="preserve">FOLLONI, G. </w:t>
      </w:r>
      <w:r w:rsidRPr="008A1443">
        <w:rPr>
          <w:rStyle w:val="main1"/>
          <w:b w:val="0"/>
        </w:rPr>
        <w:t>–</w:t>
      </w:r>
      <w:r w:rsidRPr="008A1443">
        <w:rPr>
          <w:rStyle w:val="HTMLCite"/>
          <w:i w:val="0"/>
        </w:rPr>
        <w:t xml:space="preserve"> VITTADINI, G. 2010. Human Capital Measurement: A survey.</w:t>
      </w:r>
      <w:r w:rsidRPr="008A1443">
        <w:rPr>
          <w:rStyle w:val="HTMLCite"/>
        </w:rPr>
        <w:t xml:space="preserve"> </w:t>
      </w:r>
      <w:proofErr w:type="gramStart"/>
      <w:r w:rsidRPr="008A1443">
        <w:rPr>
          <w:rStyle w:val="HTMLCite"/>
          <w:i w:val="0"/>
        </w:rPr>
        <w:t xml:space="preserve">In </w:t>
      </w:r>
      <w:r w:rsidRPr="008A1443">
        <w:rPr>
          <w:rFonts w:eastAsiaTheme="minorHAnsi"/>
          <w:i/>
          <w:iCs/>
          <w:lang w:eastAsia="en-US"/>
        </w:rPr>
        <w:t>Journal of Economic Surveys</w:t>
      </w:r>
      <w:r w:rsidRPr="008A1443">
        <w:rPr>
          <w:rFonts w:eastAsiaTheme="minorHAnsi"/>
          <w:iCs/>
          <w:lang w:eastAsia="en-US"/>
        </w:rPr>
        <w:t xml:space="preserve">, </w:t>
      </w:r>
      <w:r w:rsidRPr="008A1443">
        <w:rPr>
          <w:rFonts w:eastAsiaTheme="minorHAnsi"/>
          <w:lang w:eastAsia="en-US"/>
        </w:rPr>
        <w:t>[online].</w:t>
      </w:r>
      <w:proofErr w:type="gramEnd"/>
      <w:r w:rsidRPr="008A1443">
        <w:rPr>
          <w:rFonts w:eastAsiaTheme="minorHAnsi"/>
          <w:lang w:eastAsia="en-US"/>
        </w:rPr>
        <w:t xml:space="preserve"> Vol. 24, No. 2, pp. 248–279. Re</w:t>
      </w:r>
      <w:r w:rsidRPr="008A1443">
        <w:t>trieved May 11, 2011 at &lt;http://www.statistica.unimib.it/utenti/vittadini/PUBBLICAZIONI/ PUBBLI CAZION/ Folloni%20Vittadini_human%20capital.pdf</w:t>
      </w:r>
      <w:r w:rsidRPr="008A1443">
        <w:rPr>
          <w:rStyle w:val="Hyperlink"/>
        </w:rPr>
        <w:t>&gt;</w:t>
      </w:r>
    </w:p>
    <w:p w:rsidR="008A1443" w:rsidRPr="008A1443" w:rsidRDefault="008A1443" w:rsidP="008A1443">
      <w:pPr>
        <w:spacing w:after="240"/>
        <w:jc w:val="both"/>
      </w:pPr>
      <w:proofErr w:type="gramStart"/>
      <w:r w:rsidRPr="008A1443">
        <w:t>INSTITUTE OF FINANCIAL POLICY (IFP).</w:t>
      </w:r>
      <w:proofErr w:type="gramEnd"/>
      <w:r w:rsidRPr="008A1443">
        <w:t xml:space="preserve"> 2011. </w:t>
      </w:r>
      <w:r w:rsidRPr="008A1443">
        <w:rPr>
          <w:rFonts w:eastAsiaTheme="minorHAnsi"/>
          <w:lang w:eastAsia="en-US"/>
        </w:rPr>
        <w:t>[</w:t>
      </w:r>
      <w:proofErr w:type="gramStart"/>
      <w:r w:rsidRPr="008A1443">
        <w:rPr>
          <w:rFonts w:eastAsiaTheme="minorHAnsi"/>
          <w:lang w:eastAsia="en-US"/>
        </w:rPr>
        <w:t>online</w:t>
      </w:r>
      <w:proofErr w:type="gramEnd"/>
      <w:r w:rsidRPr="008A1443">
        <w:rPr>
          <w:rFonts w:eastAsiaTheme="minorHAnsi"/>
          <w:lang w:eastAsia="en-US"/>
        </w:rPr>
        <w:t>]. R</w:t>
      </w:r>
      <w:r w:rsidRPr="008A1443">
        <w:t>etrieved January 9, 2011 at &lt;http://finance.gov.sk&gt;</w:t>
      </w:r>
    </w:p>
    <w:p w:rsidR="008A1443" w:rsidRPr="008A1443" w:rsidRDefault="008A1443" w:rsidP="008A1443">
      <w:pPr>
        <w:spacing w:after="240"/>
        <w:jc w:val="both"/>
        <w:rPr>
          <w:rStyle w:val="HTMLCite"/>
          <w:i w:val="0"/>
          <w:iCs w:val="0"/>
        </w:rPr>
      </w:pPr>
      <w:proofErr w:type="gramStart"/>
      <w:r w:rsidRPr="008A1443">
        <w:rPr>
          <w:iCs/>
        </w:rPr>
        <w:t>INSTITUTE OF INFORMATION AND PROGNOSES OF EDUCATION IN BRATISLAVA.</w:t>
      </w:r>
      <w:proofErr w:type="gramEnd"/>
      <w:r w:rsidRPr="008A1443">
        <w:rPr>
          <w:iCs/>
        </w:rPr>
        <w:t xml:space="preserve"> 2011. </w:t>
      </w:r>
      <w:r w:rsidRPr="008A1443">
        <w:rPr>
          <w:rFonts w:eastAsiaTheme="minorHAnsi"/>
          <w:lang w:eastAsia="en-US"/>
        </w:rPr>
        <w:t>[</w:t>
      </w:r>
      <w:proofErr w:type="gramStart"/>
      <w:r w:rsidRPr="008A1443">
        <w:rPr>
          <w:rFonts w:eastAsiaTheme="minorHAnsi"/>
          <w:lang w:eastAsia="en-US"/>
        </w:rPr>
        <w:t>online</w:t>
      </w:r>
      <w:proofErr w:type="gramEnd"/>
      <w:r w:rsidRPr="008A1443">
        <w:rPr>
          <w:rFonts w:eastAsiaTheme="minorHAnsi"/>
          <w:lang w:eastAsia="en-US"/>
        </w:rPr>
        <w:t>]. R</w:t>
      </w:r>
      <w:r w:rsidRPr="008A1443">
        <w:t>etrieved January 9, 2011 at &lt;http://www.uips.sk&gt;</w:t>
      </w:r>
    </w:p>
    <w:p w:rsidR="008A1443" w:rsidRPr="008A1443" w:rsidRDefault="008A1443" w:rsidP="008A1443">
      <w:pPr>
        <w:spacing w:after="240"/>
        <w:jc w:val="both"/>
        <w:rPr>
          <w:rStyle w:val="HTMLCite"/>
          <w:rFonts w:eastAsia="Calibri"/>
          <w:i w:val="0"/>
          <w:iCs w:val="0"/>
        </w:rPr>
      </w:pPr>
      <w:proofErr w:type="gramStart"/>
      <w:r w:rsidRPr="008A1443">
        <w:rPr>
          <w:rFonts w:eastAsia="Calibri"/>
        </w:rPr>
        <w:t>KLAS, A. 2011.</w:t>
      </w:r>
      <w:proofErr w:type="gramEnd"/>
      <w:r w:rsidRPr="008A1443">
        <w:rPr>
          <w:rFonts w:eastAsia="Calibri"/>
        </w:rPr>
        <w:t xml:space="preserve"> </w:t>
      </w:r>
      <w:proofErr w:type="gramStart"/>
      <w:r w:rsidRPr="008A1443">
        <w:rPr>
          <w:rFonts w:eastAsia="Calibri"/>
        </w:rPr>
        <w:t>Role of Domestic Technological Development in Innovations.</w:t>
      </w:r>
      <w:proofErr w:type="gramEnd"/>
      <w:r w:rsidRPr="008A1443">
        <w:rPr>
          <w:rFonts w:eastAsia="Calibri"/>
        </w:rPr>
        <w:t xml:space="preserve"> </w:t>
      </w:r>
      <w:proofErr w:type="gramStart"/>
      <w:r w:rsidRPr="008A1443">
        <w:rPr>
          <w:rFonts w:eastAsia="Calibri"/>
        </w:rPr>
        <w:t xml:space="preserve">In </w:t>
      </w:r>
      <w:proofErr w:type="spellStart"/>
      <w:r w:rsidRPr="008A1443">
        <w:rPr>
          <w:rFonts w:eastAsia="Calibri"/>
          <w:i/>
        </w:rPr>
        <w:t>Ekonomic</w:t>
      </w:r>
      <w:proofErr w:type="spellEnd"/>
      <w:r w:rsidRPr="008A1443">
        <w:rPr>
          <w:rFonts w:eastAsia="Calibri"/>
          <w:i/>
        </w:rPr>
        <w:t xml:space="preserve"> Review</w:t>
      </w:r>
      <w:r w:rsidRPr="008A1443">
        <w:rPr>
          <w:rFonts w:eastAsia="Calibri"/>
        </w:rPr>
        <w:t>.</w:t>
      </w:r>
      <w:proofErr w:type="gramEnd"/>
      <w:r w:rsidRPr="008A1443">
        <w:rPr>
          <w:rFonts w:eastAsia="Calibri"/>
        </w:rPr>
        <w:t xml:space="preserve"> </w:t>
      </w:r>
      <w:proofErr w:type="gramStart"/>
      <w:r w:rsidRPr="008A1443">
        <w:rPr>
          <w:rFonts w:eastAsia="Calibri"/>
        </w:rPr>
        <w:t>40, pages 448-459.</w:t>
      </w:r>
      <w:proofErr w:type="gramEnd"/>
      <w:r w:rsidRPr="008A1443">
        <w:rPr>
          <w:rFonts w:eastAsia="Calibri"/>
        </w:rPr>
        <w:t xml:space="preserve"> 4/2011. </w:t>
      </w:r>
    </w:p>
    <w:p w:rsidR="008A1443" w:rsidRPr="008A1443" w:rsidRDefault="008A1443" w:rsidP="008A1443">
      <w:pPr>
        <w:spacing w:after="240"/>
        <w:jc w:val="both"/>
        <w:rPr>
          <w:iCs/>
          <w:lang w:eastAsia="sk-SK"/>
        </w:rPr>
      </w:pPr>
      <w:r w:rsidRPr="008A1443">
        <w:rPr>
          <w:rStyle w:val="HTMLCite"/>
          <w:i w:val="0"/>
        </w:rPr>
        <w:t>KUREKOVÁ, L. 2010.</w:t>
      </w:r>
      <w:r w:rsidRPr="008A1443">
        <w:rPr>
          <w:rStyle w:val="HTMLCite"/>
        </w:rPr>
        <w:t xml:space="preserve"> </w:t>
      </w:r>
      <w:proofErr w:type="spellStart"/>
      <w:r w:rsidRPr="008A1443">
        <w:rPr>
          <w:rStyle w:val="HTMLCite"/>
        </w:rPr>
        <w:t>Ľudský</w:t>
      </w:r>
      <w:proofErr w:type="spellEnd"/>
      <w:r w:rsidRPr="008A1443">
        <w:rPr>
          <w:rStyle w:val="HTMLCite"/>
        </w:rPr>
        <w:t xml:space="preserve"> </w:t>
      </w:r>
      <w:proofErr w:type="spellStart"/>
      <w:r w:rsidRPr="008A1443">
        <w:rPr>
          <w:rStyle w:val="HTMLCite"/>
        </w:rPr>
        <w:t>kapitál</w:t>
      </w:r>
      <w:proofErr w:type="spellEnd"/>
      <w:r w:rsidRPr="008A1443">
        <w:rPr>
          <w:rStyle w:val="HTMLCite"/>
        </w:rPr>
        <w:t xml:space="preserve">: </w:t>
      </w:r>
      <w:proofErr w:type="spellStart"/>
      <w:r w:rsidRPr="008A1443">
        <w:rPr>
          <w:rStyle w:val="HTMLCite"/>
        </w:rPr>
        <w:t>Školstvo</w:t>
      </w:r>
      <w:proofErr w:type="spellEnd"/>
      <w:r w:rsidRPr="008A1443">
        <w:rPr>
          <w:rStyle w:val="HTMLCite"/>
        </w:rPr>
        <w:t xml:space="preserve"> a </w:t>
      </w:r>
      <w:proofErr w:type="spellStart"/>
      <w:r w:rsidRPr="008A1443">
        <w:rPr>
          <w:rStyle w:val="HTMLCite"/>
        </w:rPr>
        <w:t>vzdelávanie</w:t>
      </w:r>
      <w:proofErr w:type="spellEnd"/>
      <w:r w:rsidRPr="008A1443">
        <w:rPr>
          <w:rStyle w:val="HTMLCite"/>
        </w:rPr>
        <w:t xml:space="preserve">. </w:t>
      </w:r>
      <w:r w:rsidRPr="008A1443">
        <w:rPr>
          <w:rFonts w:eastAsiaTheme="minorHAnsi"/>
          <w:lang w:eastAsia="en-US"/>
        </w:rPr>
        <w:t>[</w:t>
      </w:r>
      <w:proofErr w:type="gramStart"/>
      <w:r w:rsidRPr="008A1443">
        <w:rPr>
          <w:rFonts w:eastAsiaTheme="minorHAnsi"/>
          <w:lang w:eastAsia="en-US"/>
        </w:rPr>
        <w:t>online</w:t>
      </w:r>
      <w:proofErr w:type="gramEnd"/>
      <w:r w:rsidRPr="008A1443">
        <w:rPr>
          <w:rFonts w:eastAsiaTheme="minorHAnsi"/>
          <w:lang w:eastAsia="en-US"/>
        </w:rPr>
        <w:t xml:space="preserve">]. </w:t>
      </w:r>
      <w:proofErr w:type="gramStart"/>
      <w:r w:rsidRPr="008A1443">
        <w:rPr>
          <w:rFonts w:eastAsiaTheme="minorHAnsi"/>
          <w:lang w:eastAsia="en-US"/>
        </w:rPr>
        <w:t>R</w:t>
      </w:r>
      <w:r w:rsidRPr="008A1443">
        <w:t xml:space="preserve">etrieved February 29, 2011 </w:t>
      </w:r>
      <w:r w:rsidRPr="008A1443">
        <w:rPr>
          <w:iCs/>
          <w:lang w:eastAsia="sk-SK"/>
        </w:rPr>
        <w:t>at &lt;ceu.academia.edu/</w:t>
      </w:r>
      <w:proofErr w:type="spellStart"/>
      <w:r w:rsidRPr="008A1443">
        <w:rPr>
          <w:iCs/>
          <w:lang w:eastAsia="sk-SK"/>
        </w:rPr>
        <w:t>luciakurekova</w:t>
      </w:r>
      <w:proofErr w:type="spellEnd"/>
      <w:r w:rsidRPr="008A1443">
        <w:rPr>
          <w:iCs/>
          <w:lang w:eastAsia="sk-SK"/>
        </w:rPr>
        <w:t>/papers/302873&gt;.</w:t>
      </w:r>
      <w:proofErr w:type="gramEnd"/>
      <w:r w:rsidRPr="008A1443">
        <w:rPr>
          <w:iCs/>
          <w:lang w:eastAsia="sk-SK"/>
        </w:rPr>
        <w:t xml:space="preserve"> </w:t>
      </w:r>
    </w:p>
    <w:p w:rsidR="008A1443" w:rsidRPr="008A1443" w:rsidRDefault="008A1443" w:rsidP="008A1443">
      <w:pPr>
        <w:autoSpaceDE w:val="0"/>
        <w:autoSpaceDN w:val="0"/>
        <w:spacing w:after="240"/>
        <w:jc w:val="both"/>
        <w:rPr>
          <w:bCs/>
        </w:rPr>
      </w:pPr>
      <w:r w:rsidRPr="008A1443">
        <w:rPr>
          <w:rStyle w:val="HTMLCite"/>
        </w:rPr>
        <w:t xml:space="preserve"> </w:t>
      </w:r>
      <w:r w:rsidRPr="008A1443">
        <w:t xml:space="preserve">LISÝ, J. et al., 2003. </w:t>
      </w:r>
      <w:proofErr w:type="spellStart"/>
      <w:proofErr w:type="gramStart"/>
      <w:r w:rsidRPr="008A1443">
        <w:rPr>
          <w:i/>
        </w:rPr>
        <w:t>Dejiny</w:t>
      </w:r>
      <w:proofErr w:type="spellEnd"/>
      <w:r w:rsidRPr="008A1443">
        <w:rPr>
          <w:i/>
        </w:rPr>
        <w:t xml:space="preserve"> </w:t>
      </w:r>
      <w:proofErr w:type="spellStart"/>
      <w:r w:rsidRPr="008A1443">
        <w:rPr>
          <w:i/>
        </w:rPr>
        <w:t>ekonomických</w:t>
      </w:r>
      <w:proofErr w:type="spellEnd"/>
      <w:r w:rsidRPr="008A1443">
        <w:rPr>
          <w:i/>
        </w:rPr>
        <w:t xml:space="preserve"> </w:t>
      </w:r>
      <w:proofErr w:type="spellStart"/>
      <w:r w:rsidRPr="008A1443">
        <w:rPr>
          <w:i/>
        </w:rPr>
        <w:t>teórií</w:t>
      </w:r>
      <w:proofErr w:type="spellEnd"/>
      <w:r w:rsidRPr="008A1443">
        <w:t>.</w:t>
      </w:r>
      <w:proofErr w:type="gramEnd"/>
      <w:r w:rsidRPr="008A1443">
        <w:t xml:space="preserve"> </w:t>
      </w:r>
      <w:proofErr w:type="gramStart"/>
      <w:r w:rsidRPr="008A1443">
        <w:t>Bratislava :</w:t>
      </w:r>
      <w:proofErr w:type="gramEnd"/>
      <w:r w:rsidRPr="008A1443">
        <w:t xml:space="preserve"> IURA Edition, 2003. </w:t>
      </w:r>
      <w:proofErr w:type="gramStart"/>
      <w:r w:rsidRPr="008A1443">
        <w:t>386 pages.</w:t>
      </w:r>
      <w:proofErr w:type="gramEnd"/>
      <w:r w:rsidRPr="008A1443">
        <w:t xml:space="preserve"> </w:t>
      </w:r>
      <w:proofErr w:type="gramStart"/>
      <w:r w:rsidRPr="008A1443">
        <w:t>ISBN 80-89047-60-2.</w:t>
      </w:r>
      <w:proofErr w:type="gramEnd"/>
    </w:p>
    <w:p w:rsidR="008A1443" w:rsidRPr="008A1443" w:rsidRDefault="008A1443" w:rsidP="008A1443">
      <w:pPr>
        <w:shd w:val="clear" w:color="auto" w:fill="FFFFFF"/>
        <w:rPr>
          <w:color w:val="444444"/>
          <w:lang w:val="en"/>
        </w:rPr>
      </w:pPr>
    </w:p>
    <w:p w:rsidR="008A1443" w:rsidRPr="008A1443" w:rsidRDefault="008A1443" w:rsidP="008A1443">
      <w:pPr>
        <w:spacing w:after="240"/>
        <w:jc w:val="both"/>
        <w:rPr>
          <w:iCs/>
          <w:lang w:eastAsia="sk-SK"/>
        </w:rPr>
      </w:pPr>
      <w:proofErr w:type="gramStart"/>
      <w:r w:rsidRPr="008A1443">
        <w:lastRenderedPageBreak/>
        <w:t>Ministry of Education, Science, Research and Sport of the Slovak Republic.</w:t>
      </w:r>
      <w:proofErr w:type="gramEnd"/>
      <w:r w:rsidRPr="008A1443">
        <w:t xml:space="preserve"> 2011. </w:t>
      </w:r>
      <w:r w:rsidRPr="008A1443">
        <w:rPr>
          <w:rFonts w:eastAsiaTheme="minorHAnsi"/>
          <w:lang w:eastAsia="en-US"/>
        </w:rPr>
        <w:t>[</w:t>
      </w:r>
      <w:proofErr w:type="gramStart"/>
      <w:r w:rsidRPr="008A1443">
        <w:rPr>
          <w:rFonts w:eastAsiaTheme="minorHAnsi"/>
          <w:lang w:eastAsia="en-US"/>
        </w:rPr>
        <w:t>online</w:t>
      </w:r>
      <w:proofErr w:type="gramEnd"/>
      <w:r w:rsidRPr="008A1443">
        <w:rPr>
          <w:rFonts w:eastAsiaTheme="minorHAnsi"/>
          <w:lang w:eastAsia="en-US"/>
        </w:rPr>
        <w:t>]. R</w:t>
      </w:r>
      <w:r w:rsidRPr="008A1443">
        <w:t>etrieved February 29, 2011</w:t>
      </w:r>
      <w:r w:rsidRPr="008A1443">
        <w:rPr>
          <w:iCs/>
          <w:lang w:eastAsia="sk-SK"/>
        </w:rPr>
        <w:t xml:space="preserve"> at &lt;http://www.minedu.sk&gt;</w:t>
      </w:r>
    </w:p>
    <w:p w:rsidR="008A1443" w:rsidRPr="008A1443" w:rsidRDefault="008A1443" w:rsidP="008A1443">
      <w:pPr>
        <w:autoSpaceDE w:val="0"/>
        <w:autoSpaceDN w:val="0"/>
        <w:adjustRightInd w:val="0"/>
        <w:spacing w:after="240"/>
        <w:jc w:val="both"/>
        <w:rPr>
          <w:bCs/>
          <w:iCs/>
        </w:rPr>
      </w:pPr>
      <w:r w:rsidRPr="008A1443">
        <w:rPr>
          <w:bCs/>
          <w:iCs/>
        </w:rPr>
        <w:t xml:space="preserve">PALAŠČÁKOVÁ, D. 2008. </w:t>
      </w:r>
      <w:proofErr w:type="spellStart"/>
      <w:proofErr w:type="gramStart"/>
      <w:r w:rsidRPr="008A1443">
        <w:rPr>
          <w:bCs/>
          <w:iCs/>
        </w:rPr>
        <w:t>Východiská</w:t>
      </w:r>
      <w:proofErr w:type="spellEnd"/>
      <w:r w:rsidRPr="008A1443">
        <w:rPr>
          <w:bCs/>
          <w:iCs/>
        </w:rPr>
        <w:t xml:space="preserve"> a </w:t>
      </w:r>
      <w:proofErr w:type="spellStart"/>
      <w:r w:rsidRPr="008A1443">
        <w:rPr>
          <w:bCs/>
          <w:iCs/>
        </w:rPr>
        <w:t>hodnotenie</w:t>
      </w:r>
      <w:proofErr w:type="spellEnd"/>
      <w:r w:rsidRPr="008A1443">
        <w:rPr>
          <w:bCs/>
          <w:iCs/>
        </w:rPr>
        <w:t xml:space="preserve"> </w:t>
      </w:r>
      <w:proofErr w:type="spellStart"/>
      <w:r w:rsidRPr="008A1443">
        <w:rPr>
          <w:bCs/>
          <w:iCs/>
        </w:rPr>
        <w:t>výskumu</w:t>
      </w:r>
      <w:proofErr w:type="spellEnd"/>
      <w:r w:rsidRPr="008A1443">
        <w:rPr>
          <w:bCs/>
          <w:iCs/>
        </w:rPr>
        <w:t xml:space="preserve"> v </w:t>
      </w:r>
      <w:proofErr w:type="spellStart"/>
      <w:r w:rsidRPr="008A1443">
        <w:rPr>
          <w:bCs/>
          <w:iCs/>
        </w:rPr>
        <w:t>oblasti</w:t>
      </w:r>
      <w:proofErr w:type="spellEnd"/>
      <w:r w:rsidRPr="008A1443">
        <w:rPr>
          <w:bCs/>
          <w:iCs/>
        </w:rPr>
        <w:t xml:space="preserve"> </w:t>
      </w:r>
      <w:proofErr w:type="spellStart"/>
      <w:r w:rsidRPr="008A1443">
        <w:rPr>
          <w:bCs/>
          <w:iCs/>
        </w:rPr>
        <w:t>vysokoškolského</w:t>
      </w:r>
      <w:proofErr w:type="spellEnd"/>
      <w:r w:rsidRPr="008A1443">
        <w:rPr>
          <w:bCs/>
          <w:iCs/>
        </w:rPr>
        <w:t xml:space="preserve"> </w:t>
      </w:r>
      <w:proofErr w:type="spellStart"/>
      <w:r w:rsidRPr="008A1443">
        <w:rPr>
          <w:bCs/>
          <w:iCs/>
        </w:rPr>
        <w:t>prostredia</w:t>
      </w:r>
      <w:proofErr w:type="spellEnd"/>
      <w:r w:rsidRPr="008A1443">
        <w:rPr>
          <w:bCs/>
          <w:iCs/>
        </w:rPr>
        <w:t xml:space="preserve"> v </w:t>
      </w:r>
      <w:proofErr w:type="spellStart"/>
      <w:r w:rsidRPr="008A1443">
        <w:rPr>
          <w:bCs/>
          <w:iCs/>
        </w:rPr>
        <w:t>kontexte</w:t>
      </w:r>
      <w:proofErr w:type="spellEnd"/>
      <w:r w:rsidRPr="008A1443">
        <w:rPr>
          <w:bCs/>
          <w:iCs/>
        </w:rPr>
        <w:t xml:space="preserve"> </w:t>
      </w:r>
      <w:proofErr w:type="spellStart"/>
      <w:r w:rsidRPr="008A1443">
        <w:rPr>
          <w:bCs/>
          <w:iCs/>
        </w:rPr>
        <w:t>kvality</w:t>
      </w:r>
      <w:proofErr w:type="spellEnd"/>
      <w:r w:rsidRPr="008A1443">
        <w:rPr>
          <w:bCs/>
          <w:iCs/>
        </w:rPr>
        <w:t xml:space="preserve"> </w:t>
      </w:r>
      <w:proofErr w:type="spellStart"/>
      <w:r w:rsidRPr="008A1443">
        <w:rPr>
          <w:bCs/>
          <w:iCs/>
        </w:rPr>
        <w:t>ľudských</w:t>
      </w:r>
      <w:proofErr w:type="spellEnd"/>
      <w:r w:rsidRPr="008A1443">
        <w:rPr>
          <w:bCs/>
          <w:iCs/>
        </w:rPr>
        <w:t xml:space="preserve"> </w:t>
      </w:r>
      <w:proofErr w:type="spellStart"/>
      <w:r w:rsidRPr="008A1443">
        <w:rPr>
          <w:bCs/>
          <w:iCs/>
        </w:rPr>
        <w:t>zdrojov</w:t>
      </w:r>
      <w:proofErr w:type="spellEnd"/>
      <w:r w:rsidRPr="008A1443">
        <w:rPr>
          <w:bCs/>
          <w:iCs/>
        </w:rPr>
        <w:t xml:space="preserve"> a </w:t>
      </w:r>
      <w:proofErr w:type="spellStart"/>
      <w:r w:rsidRPr="008A1443">
        <w:rPr>
          <w:bCs/>
          <w:iCs/>
        </w:rPr>
        <w:t>konkurencieschopnosti</w:t>
      </w:r>
      <w:proofErr w:type="spellEnd"/>
      <w:r w:rsidRPr="008A1443">
        <w:rPr>
          <w:bCs/>
          <w:iCs/>
        </w:rPr>
        <w:t>.</w:t>
      </w:r>
      <w:proofErr w:type="gramEnd"/>
      <w:r w:rsidRPr="008A1443">
        <w:rPr>
          <w:bCs/>
          <w:iCs/>
        </w:rPr>
        <w:t xml:space="preserve"> </w:t>
      </w:r>
      <w:proofErr w:type="gramStart"/>
      <w:r w:rsidRPr="008A1443">
        <w:t>In ŠOLTÉS, Vincent (ed.) National and regional economics VII.</w:t>
      </w:r>
      <w:proofErr w:type="gramEnd"/>
      <w:r w:rsidRPr="008A1443">
        <w:t xml:space="preserve"> </w:t>
      </w:r>
      <w:proofErr w:type="spellStart"/>
      <w:r w:rsidRPr="008A1443">
        <w:t>Košice</w:t>
      </w:r>
      <w:proofErr w:type="spellEnd"/>
      <w:r w:rsidRPr="008A1443">
        <w:t xml:space="preserve">: </w:t>
      </w:r>
      <w:proofErr w:type="spellStart"/>
      <w:r w:rsidRPr="008A1443">
        <w:t>Technická</w:t>
      </w:r>
      <w:proofErr w:type="spellEnd"/>
      <w:r w:rsidRPr="008A1443">
        <w:t xml:space="preserve"> </w:t>
      </w:r>
      <w:proofErr w:type="spellStart"/>
      <w:r w:rsidRPr="008A1443">
        <w:t>univerzita</w:t>
      </w:r>
      <w:proofErr w:type="spellEnd"/>
      <w:r w:rsidRPr="008A1443">
        <w:t xml:space="preserve">, </w:t>
      </w:r>
      <w:proofErr w:type="spellStart"/>
      <w:r w:rsidRPr="008A1443">
        <w:t>Ekonomická</w:t>
      </w:r>
      <w:proofErr w:type="spellEnd"/>
      <w:r w:rsidRPr="008A1443">
        <w:t xml:space="preserve"> </w:t>
      </w:r>
      <w:proofErr w:type="spellStart"/>
      <w:r w:rsidRPr="008A1443">
        <w:t>fakulta</w:t>
      </w:r>
      <w:proofErr w:type="spellEnd"/>
      <w:r w:rsidRPr="008A1443">
        <w:t xml:space="preserve">, 2008, s. 707 – 717. </w:t>
      </w:r>
      <w:proofErr w:type="gramStart"/>
      <w:r w:rsidRPr="008A1443">
        <w:t>ISBN 978-80-553-0084-9.</w:t>
      </w:r>
      <w:proofErr w:type="gramEnd"/>
    </w:p>
    <w:p w:rsidR="008A1443" w:rsidRPr="008A1443" w:rsidRDefault="008A1443" w:rsidP="008A1443">
      <w:pPr>
        <w:spacing w:after="240"/>
        <w:jc w:val="both"/>
      </w:pPr>
      <w:r w:rsidRPr="008A1443">
        <w:t xml:space="preserve">ROMER, P. 1986. </w:t>
      </w:r>
      <w:proofErr w:type="gramStart"/>
      <w:r w:rsidRPr="008A1443">
        <w:t>Increasing returns and long-run growth.</w:t>
      </w:r>
      <w:proofErr w:type="gramEnd"/>
      <w:r w:rsidRPr="008A1443">
        <w:t xml:space="preserve"> In </w:t>
      </w:r>
      <w:r w:rsidRPr="008A1443">
        <w:rPr>
          <w:i/>
        </w:rPr>
        <w:t>Journal of Political Economy</w:t>
      </w:r>
      <w:r w:rsidRPr="008A1443">
        <w:t>, Vol. 94 (5)</w:t>
      </w:r>
    </w:p>
    <w:p w:rsidR="008A1443" w:rsidRPr="008A1443" w:rsidRDefault="008A1443" w:rsidP="008A1443">
      <w:pPr>
        <w:spacing w:after="240"/>
        <w:jc w:val="both"/>
      </w:pPr>
      <w:proofErr w:type="gramStart"/>
      <w:r w:rsidRPr="008A1443">
        <w:t>SMITH, A. 1776.</w:t>
      </w:r>
      <w:proofErr w:type="gramEnd"/>
      <w:r w:rsidRPr="008A1443">
        <w:t xml:space="preserve"> </w:t>
      </w:r>
      <w:proofErr w:type="gramStart"/>
      <w:r w:rsidRPr="008A1443">
        <w:rPr>
          <w:i/>
        </w:rPr>
        <w:t>Wealth of Nations</w:t>
      </w:r>
      <w:r w:rsidRPr="008A1443">
        <w:t>.</w:t>
      </w:r>
      <w:proofErr w:type="gramEnd"/>
      <w:r w:rsidRPr="008A1443">
        <w:t xml:space="preserve"> </w:t>
      </w:r>
      <w:proofErr w:type="gramStart"/>
      <w:r w:rsidRPr="008A1443">
        <w:t xml:space="preserve">A </w:t>
      </w:r>
      <w:proofErr w:type="spellStart"/>
      <w:r w:rsidRPr="008A1443">
        <w:t>Digireads</w:t>
      </w:r>
      <w:proofErr w:type="spellEnd"/>
      <w:proofErr w:type="gramEnd"/>
      <w:r w:rsidRPr="008A1443">
        <w:t xml:space="preserve"> Publishing. 1999. 575 pages. </w:t>
      </w:r>
      <w:proofErr w:type="gramStart"/>
      <w:r w:rsidRPr="008A1443">
        <w:t>ISBN 1-4209-3206-3.</w:t>
      </w:r>
      <w:proofErr w:type="gramEnd"/>
    </w:p>
    <w:p w:rsidR="008A1443" w:rsidRPr="008A1443" w:rsidRDefault="008A1443" w:rsidP="008A1443">
      <w:pPr>
        <w:spacing w:after="240"/>
        <w:jc w:val="both"/>
        <w:rPr>
          <w:bCs/>
          <w:i/>
          <w:iCs/>
        </w:rPr>
      </w:pPr>
      <w:proofErr w:type="gramStart"/>
      <w:r w:rsidRPr="008A1443">
        <w:rPr>
          <w:rFonts w:eastAsia="Calibri"/>
        </w:rPr>
        <w:t>Statistical database Eurostat, 2010.</w:t>
      </w:r>
      <w:proofErr w:type="gramEnd"/>
      <w:r w:rsidRPr="008A1443">
        <w:rPr>
          <w:rFonts w:eastAsia="Calibri"/>
        </w:rPr>
        <w:t xml:space="preserve"> </w:t>
      </w:r>
      <w:r w:rsidRPr="008A1443">
        <w:rPr>
          <w:rFonts w:eastAsiaTheme="minorHAnsi"/>
          <w:lang w:eastAsia="en-US"/>
        </w:rPr>
        <w:t>[</w:t>
      </w:r>
      <w:proofErr w:type="gramStart"/>
      <w:r w:rsidRPr="008A1443">
        <w:rPr>
          <w:rFonts w:eastAsiaTheme="minorHAnsi"/>
          <w:lang w:eastAsia="en-US"/>
        </w:rPr>
        <w:t>online</w:t>
      </w:r>
      <w:proofErr w:type="gramEnd"/>
      <w:r w:rsidRPr="008A1443">
        <w:rPr>
          <w:rFonts w:eastAsiaTheme="minorHAnsi"/>
          <w:lang w:eastAsia="en-US"/>
        </w:rPr>
        <w:t>]. R</w:t>
      </w:r>
      <w:r w:rsidRPr="008A1443">
        <w:t xml:space="preserve">etrieved numerous times in 2010 and 2011 at </w:t>
      </w:r>
      <w:r w:rsidRPr="008A1443">
        <w:rPr>
          <w:i/>
        </w:rPr>
        <w:t>&lt;</w:t>
      </w:r>
      <w:r w:rsidRPr="008A1443">
        <w:rPr>
          <w:rFonts w:eastAsia="Calibri"/>
          <w:i/>
        </w:rPr>
        <w:t xml:space="preserve"> </w:t>
      </w:r>
      <w:r w:rsidRPr="008A1443">
        <w:rPr>
          <w:rStyle w:val="HTMLCite"/>
          <w:i w:val="0"/>
        </w:rPr>
        <w:t>ec.europa.eu/</w:t>
      </w:r>
      <w:proofErr w:type="spellStart"/>
      <w:r w:rsidRPr="008A1443">
        <w:rPr>
          <w:rStyle w:val="HTMLCite"/>
          <w:i w:val="0"/>
        </w:rPr>
        <w:t>eurostat</w:t>
      </w:r>
      <w:proofErr w:type="spellEnd"/>
      <w:r w:rsidRPr="008A1443">
        <w:rPr>
          <w:rStyle w:val="HTMLCite"/>
          <w:bCs/>
          <w:i w:val="0"/>
        </w:rPr>
        <w:t>&gt;</w:t>
      </w:r>
    </w:p>
    <w:p w:rsidR="008A1443" w:rsidRPr="008A1443" w:rsidRDefault="008A1443" w:rsidP="008A1443">
      <w:pPr>
        <w:jc w:val="both"/>
      </w:pPr>
      <w:proofErr w:type="spellStart"/>
      <w:proofErr w:type="gramStart"/>
      <w:r w:rsidRPr="008A1443">
        <w:rPr>
          <w:bCs/>
        </w:rPr>
        <w:t>Verejná</w:t>
      </w:r>
      <w:proofErr w:type="spellEnd"/>
      <w:r w:rsidRPr="008A1443">
        <w:rPr>
          <w:bCs/>
        </w:rPr>
        <w:t xml:space="preserve"> </w:t>
      </w:r>
      <w:proofErr w:type="spellStart"/>
      <w:r w:rsidRPr="008A1443">
        <w:rPr>
          <w:bCs/>
        </w:rPr>
        <w:t>politika</w:t>
      </w:r>
      <w:proofErr w:type="spellEnd"/>
      <w:r w:rsidRPr="008A1443">
        <w:rPr>
          <w:bCs/>
        </w:rPr>
        <w:t>, 2002.</w:t>
      </w:r>
      <w:proofErr w:type="gramEnd"/>
      <w:r w:rsidRPr="008A1443">
        <w:rPr>
          <w:bCs/>
        </w:rPr>
        <w:t xml:space="preserve"> </w:t>
      </w:r>
      <w:r w:rsidRPr="008A1443">
        <w:rPr>
          <w:rFonts w:eastAsia="Calibri"/>
          <w:lang w:eastAsia="en-US"/>
        </w:rPr>
        <w:t>[</w:t>
      </w:r>
      <w:proofErr w:type="gramStart"/>
      <w:r w:rsidRPr="008A1443">
        <w:rPr>
          <w:rFonts w:eastAsia="Calibri"/>
          <w:lang w:eastAsia="en-US"/>
        </w:rPr>
        <w:t>online</w:t>
      </w:r>
      <w:proofErr w:type="gramEnd"/>
      <w:r w:rsidRPr="008A1443">
        <w:rPr>
          <w:rFonts w:eastAsia="Calibri"/>
          <w:lang w:eastAsia="en-US"/>
        </w:rPr>
        <w:t xml:space="preserve">]. </w:t>
      </w:r>
      <w:r w:rsidRPr="008A1443">
        <w:t xml:space="preserve">Retrieved 2011-15-01] at </w:t>
      </w:r>
    </w:p>
    <w:p w:rsidR="008A1443" w:rsidRPr="008A1443" w:rsidRDefault="008A1443" w:rsidP="008A1443">
      <w:pPr>
        <w:spacing w:after="240"/>
        <w:jc w:val="both"/>
        <w:rPr>
          <w:bCs/>
        </w:rPr>
      </w:pPr>
      <w:r w:rsidRPr="008A1443">
        <w:t>&lt;</w:t>
      </w:r>
      <w:r w:rsidRPr="008A1443">
        <w:rPr>
          <w:bCs/>
        </w:rPr>
        <w:t>http://www.verejnapolitika.sk/ecosoc/publikacie_nsvp_kapitola2.pdf</w:t>
      </w:r>
      <w:r w:rsidRPr="008A1443">
        <w:t>&gt;</w:t>
      </w:r>
    </w:p>
    <w:p w:rsidR="008A1443" w:rsidRPr="008A1443" w:rsidRDefault="008A1443" w:rsidP="008A1443">
      <w:pPr>
        <w:autoSpaceDE w:val="0"/>
        <w:autoSpaceDN w:val="0"/>
        <w:adjustRightInd w:val="0"/>
        <w:spacing w:after="240"/>
        <w:jc w:val="both"/>
        <w:rPr>
          <w:rFonts w:eastAsia="Calibri"/>
          <w:lang w:eastAsia="en-US"/>
        </w:rPr>
      </w:pPr>
      <w:r w:rsidRPr="008A1443">
        <w:rPr>
          <w:rFonts w:eastAsia="Calibri"/>
          <w:lang w:eastAsia="en-US"/>
        </w:rPr>
        <w:t xml:space="preserve">WOODHALL, M. 2004. </w:t>
      </w:r>
      <w:proofErr w:type="gramStart"/>
      <w:r w:rsidRPr="008A1443">
        <w:rPr>
          <w:rFonts w:eastAsia="Calibri"/>
          <w:lang w:eastAsia="en-US"/>
        </w:rPr>
        <w:t>Cost and benefits analysis in educational planning.</w:t>
      </w:r>
      <w:proofErr w:type="gramEnd"/>
      <w:r w:rsidRPr="008A1443">
        <w:rPr>
          <w:rFonts w:eastAsia="Calibri"/>
          <w:lang w:eastAsia="en-US"/>
        </w:rPr>
        <w:t xml:space="preserve"> </w:t>
      </w:r>
      <w:proofErr w:type="gramStart"/>
      <w:r w:rsidRPr="008A1443">
        <w:rPr>
          <w:rFonts w:eastAsia="Calibri"/>
          <w:lang w:eastAsia="en-US"/>
        </w:rPr>
        <w:t xml:space="preserve">In </w:t>
      </w:r>
      <w:r w:rsidRPr="008A1443">
        <w:rPr>
          <w:rFonts w:eastAsia="Calibri"/>
          <w:i/>
          <w:lang w:eastAsia="en-US"/>
        </w:rPr>
        <w:t>International Institute for Educational planning</w:t>
      </w:r>
      <w:r w:rsidRPr="008A1443">
        <w:rPr>
          <w:rFonts w:eastAsia="Calibri"/>
          <w:lang w:eastAsia="en-US"/>
        </w:rPr>
        <w:t>.</w:t>
      </w:r>
      <w:proofErr w:type="gramEnd"/>
      <w:r w:rsidRPr="008A1443">
        <w:rPr>
          <w:rFonts w:eastAsia="Calibri"/>
          <w:lang w:eastAsia="en-US"/>
        </w:rPr>
        <w:t xml:space="preserve"> [</w:t>
      </w:r>
      <w:proofErr w:type="gramStart"/>
      <w:r w:rsidRPr="008A1443">
        <w:rPr>
          <w:rFonts w:eastAsia="Calibri"/>
          <w:lang w:eastAsia="en-US"/>
        </w:rPr>
        <w:t>online</w:t>
      </w:r>
      <w:proofErr w:type="gramEnd"/>
      <w:r w:rsidRPr="008A1443">
        <w:rPr>
          <w:rFonts w:eastAsia="Calibri"/>
          <w:lang w:eastAsia="en-US"/>
        </w:rPr>
        <w:t xml:space="preserve">]. </w:t>
      </w:r>
      <w:proofErr w:type="gramStart"/>
      <w:r w:rsidRPr="008A1443">
        <w:rPr>
          <w:rFonts w:eastAsia="Calibri"/>
          <w:lang w:eastAsia="en-US"/>
        </w:rPr>
        <w:t>UNESCO.</w:t>
      </w:r>
      <w:proofErr w:type="gramEnd"/>
      <w:r w:rsidRPr="008A1443">
        <w:rPr>
          <w:rFonts w:eastAsia="Calibri"/>
          <w:lang w:eastAsia="en-US"/>
        </w:rPr>
        <w:t xml:space="preserve"> </w:t>
      </w:r>
      <w:proofErr w:type="gramStart"/>
      <w:r w:rsidRPr="008A1443">
        <w:rPr>
          <w:rFonts w:eastAsia="Calibri"/>
          <w:lang w:eastAsia="en-US"/>
        </w:rPr>
        <w:t>Paris, 2004.</w:t>
      </w:r>
      <w:proofErr w:type="gramEnd"/>
      <w:r w:rsidRPr="008A1443">
        <w:rPr>
          <w:rFonts w:eastAsia="Calibri"/>
          <w:lang w:eastAsia="en-US"/>
        </w:rPr>
        <w:t xml:space="preserve"> Retrieved December 15, 2011 at &lt;http://unesdoc.unesco.org/images/0013/001390 /139042e.pdf&gt;</w:t>
      </w:r>
    </w:p>
    <w:p w:rsidR="008A1443" w:rsidRPr="008A1443" w:rsidRDefault="008A1443" w:rsidP="008A1443">
      <w:pPr>
        <w:jc w:val="both"/>
        <w:rPr>
          <w:rFonts w:eastAsia="Calibri"/>
        </w:rPr>
      </w:pPr>
      <w:r w:rsidRPr="008A1443">
        <w:rPr>
          <w:rFonts w:eastAsia="Calibri"/>
        </w:rPr>
        <w:t>WORLD BANK (2002b), Constructing Knowledge Societies: New Challenges for Tertiary</w:t>
      </w:r>
    </w:p>
    <w:p w:rsidR="008A1443" w:rsidRPr="00957021" w:rsidRDefault="008A1443" w:rsidP="008A1443">
      <w:pPr>
        <w:spacing w:after="240"/>
        <w:jc w:val="both"/>
        <w:rPr>
          <w:rFonts w:eastAsia="Calibri"/>
        </w:rPr>
      </w:pPr>
      <w:r w:rsidRPr="008A1443">
        <w:rPr>
          <w:rFonts w:eastAsia="Calibri"/>
        </w:rPr>
        <w:t xml:space="preserve">Education, Washington, D.C.: World Bank. </w:t>
      </w:r>
      <w:r w:rsidRPr="008A1443">
        <w:t>Retrieved September 16, 2010 a</w:t>
      </w:r>
      <w:r w:rsidRPr="008A1443">
        <w:rPr>
          <w:rFonts w:eastAsia="Calibri"/>
        </w:rPr>
        <w:t>t &lt;http://www.mp.gov.rs/resursi/dokumenti/dok220-eng-WB_ConstructingKnowledge Societies.pdf&gt;</w:t>
      </w:r>
    </w:p>
    <w:p w:rsidR="00D64FE8" w:rsidRPr="00D64FE8" w:rsidRDefault="00D64FE8" w:rsidP="008A1443"/>
    <w:p w:rsidR="00D64FE8" w:rsidRPr="00C211AF" w:rsidRDefault="00D64FE8" w:rsidP="008A1443"/>
    <w:sectPr w:rsidR="00D64FE8" w:rsidRPr="00C211A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8B" w:rsidRDefault="00AB1A8B" w:rsidP="00A14597">
      <w:r>
        <w:separator/>
      </w:r>
    </w:p>
  </w:endnote>
  <w:endnote w:type="continuationSeparator" w:id="0">
    <w:p w:rsidR="00AB1A8B" w:rsidRDefault="00AB1A8B" w:rsidP="00A1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MTMI">
    <w:altName w:val="MS Mincho"/>
    <w:panose1 w:val="00000000000000000000"/>
    <w:charset w:val="80"/>
    <w:family w:val="auto"/>
    <w:notTrueType/>
    <w:pitch w:val="default"/>
    <w:sig w:usb0="00000000" w:usb1="08070000" w:usb2="00000010" w:usb3="00000000" w:csb0="00020000" w:csb1="00000000"/>
  </w:font>
  <w:font w:name="MTSY">
    <w:altName w:val="Arial Unicode MS"/>
    <w:panose1 w:val="00000000000000000000"/>
    <w:charset w:val="81"/>
    <w:family w:val="auto"/>
    <w:notTrueType/>
    <w:pitch w:val="default"/>
    <w:sig w:usb0="00000000" w:usb1="09060000" w:usb2="00000010" w:usb3="00000000" w:csb0="00080000" w:csb1="00000000"/>
  </w:font>
  <w:font w:name="Perpetua-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1">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8B" w:rsidRDefault="00AB1A8B" w:rsidP="00A14597">
      <w:r>
        <w:separator/>
      </w:r>
    </w:p>
  </w:footnote>
  <w:footnote w:type="continuationSeparator" w:id="0">
    <w:p w:rsidR="00AB1A8B" w:rsidRDefault="00AB1A8B" w:rsidP="00A14597">
      <w:r>
        <w:continuationSeparator/>
      </w:r>
    </w:p>
  </w:footnote>
  <w:footnote w:id="1">
    <w:p w:rsidR="00A14597" w:rsidRPr="00273C61" w:rsidRDefault="00A14597" w:rsidP="00A14597">
      <w:pPr>
        <w:pStyle w:val="FootnoteText"/>
      </w:pPr>
      <w:r>
        <w:rPr>
          <w:rStyle w:val="FootnoteReference"/>
        </w:rPr>
        <w:footnoteRef/>
      </w:r>
      <w:r>
        <w:t xml:space="preserve"> </w:t>
      </w:r>
      <w:proofErr w:type="spellStart"/>
      <w:r>
        <w:rPr>
          <w:lang w:val="sk-SK"/>
        </w:rPr>
        <w:t>The</w:t>
      </w:r>
      <w:proofErr w:type="spellEnd"/>
      <w:r>
        <w:rPr>
          <w:lang w:val="sk-SK"/>
        </w:rPr>
        <w:t xml:space="preserve"> </w:t>
      </w:r>
      <w:proofErr w:type="spellStart"/>
      <w:r>
        <w:rPr>
          <w:lang w:val="sk-SK"/>
        </w:rPr>
        <w:t>NPVs</w:t>
      </w:r>
      <w:proofErr w:type="spellEnd"/>
      <w:r>
        <w:rPr>
          <w:lang w:val="sk-SK"/>
        </w:rPr>
        <w:t xml:space="preserve"> </w:t>
      </w:r>
      <w:proofErr w:type="spellStart"/>
      <w:r>
        <w:rPr>
          <w:lang w:val="sk-SK"/>
        </w:rPr>
        <w:t>of</w:t>
      </w:r>
      <w:proofErr w:type="spellEnd"/>
      <w:r>
        <w:rPr>
          <w:lang w:val="sk-SK"/>
        </w:rPr>
        <w:t xml:space="preserve"> </w:t>
      </w:r>
      <w:proofErr w:type="spellStart"/>
      <w:r>
        <w:rPr>
          <w:lang w:val="sk-SK"/>
        </w:rPr>
        <w:t>females</w:t>
      </w:r>
      <w:proofErr w:type="spellEnd"/>
      <w:r>
        <w:rPr>
          <w:lang w:val="sk-SK"/>
        </w:rPr>
        <w:t xml:space="preserve"> display </w:t>
      </w:r>
      <w:r>
        <w:t>similar results, but lie significantly below those of men.</w:t>
      </w:r>
    </w:p>
  </w:footnote>
  <w:footnote w:id="2">
    <w:p w:rsidR="00A345E6" w:rsidRDefault="00A345E6" w:rsidP="00A345E6">
      <w:pPr>
        <w:pStyle w:val="FootnoteText"/>
      </w:pPr>
      <w:r>
        <w:rPr>
          <w:rStyle w:val="FootnoteReference"/>
        </w:rPr>
        <w:footnoteRef/>
      </w:r>
      <w:r>
        <w:t xml:space="preserve"> The</w:t>
      </w:r>
      <w:r w:rsidRPr="00E7329C">
        <w:rPr>
          <w:bCs/>
          <w:color w:val="000000"/>
        </w:rPr>
        <w:t xml:space="preserve"> </w:t>
      </w:r>
      <w:r>
        <w:rPr>
          <w:bCs/>
          <w:color w:val="000000"/>
        </w:rPr>
        <w:t xml:space="preserve">private net present value for a Slovak female is the fifth highest from the OECD countries.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324D"/>
    <w:multiLevelType w:val="multilevel"/>
    <w:tmpl w:val="1D8279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ind w:left="2160" w:hanging="360"/>
      </w:pPr>
      <w:rPr>
        <w:rFonts w:ascii="Times New Roman" w:eastAsia="Calibri"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6E0ECD"/>
    <w:multiLevelType w:val="hybridMultilevel"/>
    <w:tmpl w:val="C0BA4F00"/>
    <w:lvl w:ilvl="0" w:tplc="71C4F10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E392D9C"/>
    <w:multiLevelType w:val="hybridMultilevel"/>
    <w:tmpl w:val="5BE49EF6"/>
    <w:lvl w:ilvl="0" w:tplc="4D6CB9DA">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551D0D9B"/>
    <w:multiLevelType w:val="hybridMultilevel"/>
    <w:tmpl w:val="5BCC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D0696"/>
    <w:multiLevelType w:val="hybridMultilevel"/>
    <w:tmpl w:val="3A3C9A20"/>
    <w:lvl w:ilvl="0" w:tplc="5F8E3D18">
      <w:start w:val="1"/>
      <w:numFmt w:val="bullet"/>
      <w:lvlText w:val="-"/>
      <w:lvlJc w:val="left"/>
      <w:pPr>
        <w:ind w:left="960" w:hanging="360"/>
      </w:pPr>
      <w:rPr>
        <w:rFonts w:ascii="Times New Roman" w:eastAsia="Times New Roman" w:hAnsi="Times New Roman" w:cs="Times New Roman"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num w:numId="1">
    <w:abstractNumId w:val="1"/>
  </w:num>
  <w:num w:numId="2">
    <w:abstractNumId w:val="4"/>
  </w:num>
  <w:num w:numId="3">
    <w:abstractNumId w:val="3"/>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97"/>
    <w:rsid w:val="000E6A7A"/>
    <w:rsid w:val="000F4023"/>
    <w:rsid w:val="00136681"/>
    <w:rsid w:val="001E54C2"/>
    <w:rsid w:val="002552D7"/>
    <w:rsid w:val="002E05B6"/>
    <w:rsid w:val="0039254F"/>
    <w:rsid w:val="003C3BC5"/>
    <w:rsid w:val="00472892"/>
    <w:rsid w:val="00532572"/>
    <w:rsid w:val="007016D7"/>
    <w:rsid w:val="00736A80"/>
    <w:rsid w:val="007A101C"/>
    <w:rsid w:val="007A1961"/>
    <w:rsid w:val="00866B3D"/>
    <w:rsid w:val="008A1443"/>
    <w:rsid w:val="00A13B8C"/>
    <w:rsid w:val="00A14597"/>
    <w:rsid w:val="00A345E6"/>
    <w:rsid w:val="00A45AFE"/>
    <w:rsid w:val="00AB1A8B"/>
    <w:rsid w:val="00AE10C6"/>
    <w:rsid w:val="00BD0F6A"/>
    <w:rsid w:val="00C211AF"/>
    <w:rsid w:val="00CA2F99"/>
    <w:rsid w:val="00D64FE8"/>
    <w:rsid w:val="00DA3A6E"/>
    <w:rsid w:val="00DD604D"/>
    <w:rsid w:val="00EB404E"/>
    <w:rsid w:val="00F61BB6"/>
    <w:rsid w:val="00F7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97"/>
    <w:pPr>
      <w:spacing w:after="0" w:line="240" w:lineRule="auto"/>
    </w:pPr>
    <w:rPr>
      <w:rFonts w:ascii="Times New Roman" w:eastAsia="Times New Roman" w:hAnsi="Times New Roman" w:cs="Times New Roman"/>
      <w:sz w:val="24"/>
      <w:szCs w:val="24"/>
      <w:lang w:eastAsia="cs-CZ"/>
    </w:rPr>
  </w:style>
  <w:style w:type="paragraph" w:styleId="Heading2">
    <w:name w:val="heading 2"/>
    <w:basedOn w:val="Normal"/>
    <w:next w:val="Normal"/>
    <w:link w:val="Heading2Char"/>
    <w:qFormat/>
    <w:rsid w:val="00A14597"/>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A14597"/>
    <w:pPr>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
    <w:semiHidden/>
    <w:unhideWhenUsed/>
    <w:qFormat/>
    <w:rsid w:val="00A145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4597"/>
    <w:rPr>
      <w:rFonts w:ascii="Cambria" w:eastAsia="Times New Roman" w:hAnsi="Cambria" w:cs="Times New Roman"/>
      <w:b/>
      <w:bCs/>
      <w:i/>
      <w:iCs/>
      <w:sz w:val="28"/>
      <w:szCs w:val="28"/>
      <w:lang w:eastAsia="cs-CZ"/>
    </w:rPr>
  </w:style>
  <w:style w:type="character" w:customStyle="1" w:styleId="Heading3Char">
    <w:name w:val="Heading 3 Char"/>
    <w:basedOn w:val="DefaultParagraphFont"/>
    <w:link w:val="Heading3"/>
    <w:uiPriority w:val="9"/>
    <w:rsid w:val="00A14597"/>
    <w:rPr>
      <w:rFonts w:ascii="Times New Roman" w:eastAsia="Times New Roman" w:hAnsi="Times New Roman" w:cs="Times New Roman"/>
      <w:b/>
      <w:bCs/>
      <w:sz w:val="27"/>
      <w:szCs w:val="27"/>
    </w:rPr>
  </w:style>
  <w:style w:type="paragraph" w:styleId="ListParagraph">
    <w:name w:val="List Paragraph"/>
    <w:basedOn w:val="Normal"/>
    <w:uiPriority w:val="99"/>
    <w:qFormat/>
    <w:rsid w:val="00A14597"/>
    <w:pPr>
      <w:ind w:left="720"/>
      <w:contextualSpacing/>
    </w:pPr>
    <w:rPr>
      <w:lang w:val="sk-SK" w:eastAsia="sk-SK"/>
    </w:rPr>
  </w:style>
  <w:style w:type="paragraph" w:styleId="NormalWeb">
    <w:name w:val="Normal (Web)"/>
    <w:basedOn w:val="Normal"/>
    <w:uiPriority w:val="99"/>
    <w:unhideWhenUsed/>
    <w:rsid w:val="00A14597"/>
    <w:pPr>
      <w:spacing w:before="100" w:beforeAutospacing="1" w:after="100" w:afterAutospacing="1"/>
    </w:pPr>
    <w:rPr>
      <w:lang w:val="sk-SK" w:eastAsia="sk-SK"/>
    </w:rPr>
  </w:style>
  <w:style w:type="character" w:styleId="Hyperlink">
    <w:name w:val="Hyperlink"/>
    <w:uiPriority w:val="99"/>
    <w:unhideWhenUsed/>
    <w:rsid w:val="00A14597"/>
    <w:rPr>
      <w:color w:val="0000FF"/>
      <w:u w:val="single"/>
    </w:rPr>
  </w:style>
  <w:style w:type="paragraph" w:styleId="FootnoteText">
    <w:name w:val="footnote text"/>
    <w:basedOn w:val="Normal"/>
    <w:link w:val="FootnoteTextChar"/>
    <w:uiPriority w:val="99"/>
    <w:rsid w:val="00A14597"/>
    <w:rPr>
      <w:sz w:val="20"/>
      <w:szCs w:val="20"/>
    </w:rPr>
  </w:style>
  <w:style w:type="character" w:customStyle="1" w:styleId="FootnoteTextChar">
    <w:name w:val="Footnote Text Char"/>
    <w:basedOn w:val="DefaultParagraphFont"/>
    <w:link w:val="FootnoteText"/>
    <w:uiPriority w:val="99"/>
    <w:rsid w:val="00A14597"/>
    <w:rPr>
      <w:rFonts w:ascii="Times New Roman" w:eastAsia="Times New Roman" w:hAnsi="Times New Roman" w:cs="Times New Roman"/>
      <w:sz w:val="20"/>
      <w:szCs w:val="20"/>
      <w:lang w:eastAsia="cs-CZ"/>
    </w:rPr>
  </w:style>
  <w:style w:type="character" w:styleId="FootnoteReference">
    <w:name w:val="footnote reference"/>
    <w:basedOn w:val="DefaultParagraphFont"/>
    <w:uiPriority w:val="99"/>
    <w:rsid w:val="00A14597"/>
    <w:rPr>
      <w:vertAlign w:val="superscript"/>
    </w:rPr>
  </w:style>
  <w:style w:type="character" w:customStyle="1" w:styleId="googqs-tidbit">
    <w:name w:val="goog_qs-tidbit"/>
    <w:basedOn w:val="DefaultParagraphFont"/>
    <w:rsid w:val="00A14597"/>
  </w:style>
  <w:style w:type="character" w:customStyle="1" w:styleId="main1">
    <w:name w:val="main1"/>
    <w:basedOn w:val="DefaultParagraphFont"/>
    <w:rsid w:val="00A14597"/>
    <w:rPr>
      <w:b/>
      <w:bCs/>
      <w:strike w:val="0"/>
      <w:dstrike w:val="0"/>
      <w:color w:val="0C352B"/>
      <w:u w:val="none"/>
      <w:effect w:val="none"/>
    </w:rPr>
  </w:style>
  <w:style w:type="character" w:customStyle="1" w:styleId="Heading4Char">
    <w:name w:val="Heading 4 Char"/>
    <w:basedOn w:val="DefaultParagraphFont"/>
    <w:link w:val="Heading4"/>
    <w:uiPriority w:val="9"/>
    <w:semiHidden/>
    <w:rsid w:val="00A14597"/>
    <w:rPr>
      <w:rFonts w:asciiTheme="majorHAnsi" w:eastAsiaTheme="majorEastAsia" w:hAnsiTheme="majorHAnsi" w:cstheme="majorBidi"/>
      <w:b/>
      <w:bCs/>
      <w:i/>
      <w:iCs/>
      <w:color w:val="4F81BD" w:themeColor="accent1"/>
      <w:sz w:val="24"/>
      <w:szCs w:val="24"/>
      <w:lang w:eastAsia="cs-CZ"/>
    </w:rPr>
  </w:style>
  <w:style w:type="character" w:customStyle="1" w:styleId="st1">
    <w:name w:val="st1"/>
    <w:basedOn w:val="DefaultParagraphFont"/>
    <w:rsid w:val="00A14597"/>
  </w:style>
  <w:style w:type="paragraph" w:styleId="BalloonText">
    <w:name w:val="Balloon Text"/>
    <w:basedOn w:val="Normal"/>
    <w:link w:val="BalloonTextChar"/>
    <w:uiPriority w:val="99"/>
    <w:semiHidden/>
    <w:unhideWhenUsed/>
    <w:rsid w:val="00A14597"/>
    <w:rPr>
      <w:rFonts w:ascii="Tahoma" w:hAnsi="Tahoma" w:cs="Tahoma"/>
      <w:sz w:val="16"/>
      <w:szCs w:val="16"/>
    </w:rPr>
  </w:style>
  <w:style w:type="character" w:customStyle="1" w:styleId="BalloonTextChar">
    <w:name w:val="Balloon Text Char"/>
    <w:basedOn w:val="DefaultParagraphFont"/>
    <w:link w:val="BalloonText"/>
    <w:uiPriority w:val="99"/>
    <w:semiHidden/>
    <w:rsid w:val="00A14597"/>
    <w:rPr>
      <w:rFonts w:ascii="Tahoma" w:eastAsia="Times New Roman" w:hAnsi="Tahoma" w:cs="Tahoma"/>
      <w:sz w:val="16"/>
      <w:szCs w:val="16"/>
      <w:lang w:eastAsia="cs-CZ"/>
    </w:rPr>
  </w:style>
  <w:style w:type="paragraph" w:customStyle="1" w:styleId="Abstract">
    <w:name w:val="Abstract"/>
    <w:basedOn w:val="Normal"/>
    <w:autoRedefine/>
    <w:rsid w:val="002E05B6"/>
    <w:pPr>
      <w:autoSpaceDE w:val="0"/>
      <w:autoSpaceDN w:val="0"/>
      <w:ind w:right="567"/>
      <w:jc w:val="both"/>
    </w:pPr>
    <w:rPr>
      <w:b/>
      <w:lang w:val="cs-CZ"/>
    </w:rPr>
  </w:style>
  <w:style w:type="character" w:styleId="HTMLCite">
    <w:name w:val="HTML Cite"/>
    <w:uiPriority w:val="99"/>
    <w:unhideWhenUsed/>
    <w:rsid w:val="008A1443"/>
    <w:rPr>
      <w:i/>
      <w:iCs/>
    </w:rPr>
  </w:style>
  <w:style w:type="character" w:customStyle="1" w:styleId="citation">
    <w:name w:val="citation"/>
    <w:basedOn w:val="DefaultParagraphFont"/>
    <w:rsid w:val="008A1443"/>
    <w:rPr>
      <w:i w:val="0"/>
      <w:iCs w:val="0"/>
    </w:rPr>
  </w:style>
  <w:style w:type="character" w:customStyle="1" w:styleId="z3988">
    <w:name w:val="z3988"/>
    <w:basedOn w:val="DefaultParagraphFont"/>
    <w:rsid w:val="008A1443"/>
  </w:style>
  <w:style w:type="character" w:customStyle="1" w:styleId="ft">
    <w:name w:val="ft"/>
    <w:basedOn w:val="DefaultParagraphFont"/>
    <w:rsid w:val="008A1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97"/>
    <w:pPr>
      <w:spacing w:after="0" w:line="240" w:lineRule="auto"/>
    </w:pPr>
    <w:rPr>
      <w:rFonts w:ascii="Times New Roman" w:eastAsia="Times New Roman" w:hAnsi="Times New Roman" w:cs="Times New Roman"/>
      <w:sz w:val="24"/>
      <w:szCs w:val="24"/>
      <w:lang w:eastAsia="cs-CZ"/>
    </w:rPr>
  </w:style>
  <w:style w:type="paragraph" w:styleId="Heading2">
    <w:name w:val="heading 2"/>
    <w:basedOn w:val="Normal"/>
    <w:next w:val="Normal"/>
    <w:link w:val="Heading2Char"/>
    <w:qFormat/>
    <w:rsid w:val="00A14597"/>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A14597"/>
    <w:pPr>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
    <w:semiHidden/>
    <w:unhideWhenUsed/>
    <w:qFormat/>
    <w:rsid w:val="00A145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4597"/>
    <w:rPr>
      <w:rFonts w:ascii="Cambria" w:eastAsia="Times New Roman" w:hAnsi="Cambria" w:cs="Times New Roman"/>
      <w:b/>
      <w:bCs/>
      <w:i/>
      <w:iCs/>
      <w:sz w:val="28"/>
      <w:szCs w:val="28"/>
      <w:lang w:eastAsia="cs-CZ"/>
    </w:rPr>
  </w:style>
  <w:style w:type="character" w:customStyle="1" w:styleId="Heading3Char">
    <w:name w:val="Heading 3 Char"/>
    <w:basedOn w:val="DefaultParagraphFont"/>
    <w:link w:val="Heading3"/>
    <w:uiPriority w:val="9"/>
    <w:rsid w:val="00A14597"/>
    <w:rPr>
      <w:rFonts w:ascii="Times New Roman" w:eastAsia="Times New Roman" w:hAnsi="Times New Roman" w:cs="Times New Roman"/>
      <w:b/>
      <w:bCs/>
      <w:sz w:val="27"/>
      <w:szCs w:val="27"/>
    </w:rPr>
  </w:style>
  <w:style w:type="paragraph" w:styleId="ListParagraph">
    <w:name w:val="List Paragraph"/>
    <w:basedOn w:val="Normal"/>
    <w:uiPriority w:val="99"/>
    <w:qFormat/>
    <w:rsid w:val="00A14597"/>
    <w:pPr>
      <w:ind w:left="720"/>
      <w:contextualSpacing/>
    </w:pPr>
    <w:rPr>
      <w:lang w:val="sk-SK" w:eastAsia="sk-SK"/>
    </w:rPr>
  </w:style>
  <w:style w:type="paragraph" w:styleId="NormalWeb">
    <w:name w:val="Normal (Web)"/>
    <w:basedOn w:val="Normal"/>
    <w:uiPriority w:val="99"/>
    <w:unhideWhenUsed/>
    <w:rsid w:val="00A14597"/>
    <w:pPr>
      <w:spacing w:before="100" w:beforeAutospacing="1" w:after="100" w:afterAutospacing="1"/>
    </w:pPr>
    <w:rPr>
      <w:lang w:val="sk-SK" w:eastAsia="sk-SK"/>
    </w:rPr>
  </w:style>
  <w:style w:type="character" w:styleId="Hyperlink">
    <w:name w:val="Hyperlink"/>
    <w:uiPriority w:val="99"/>
    <w:unhideWhenUsed/>
    <w:rsid w:val="00A14597"/>
    <w:rPr>
      <w:color w:val="0000FF"/>
      <w:u w:val="single"/>
    </w:rPr>
  </w:style>
  <w:style w:type="paragraph" w:styleId="FootnoteText">
    <w:name w:val="footnote text"/>
    <w:basedOn w:val="Normal"/>
    <w:link w:val="FootnoteTextChar"/>
    <w:uiPriority w:val="99"/>
    <w:rsid w:val="00A14597"/>
    <w:rPr>
      <w:sz w:val="20"/>
      <w:szCs w:val="20"/>
    </w:rPr>
  </w:style>
  <w:style w:type="character" w:customStyle="1" w:styleId="FootnoteTextChar">
    <w:name w:val="Footnote Text Char"/>
    <w:basedOn w:val="DefaultParagraphFont"/>
    <w:link w:val="FootnoteText"/>
    <w:uiPriority w:val="99"/>
    <w:rsid w:val="00A14597"/>
    <w:rPr>
      <w:rFonts w:ascii="Times New Roman" w:eastAsia="Times New Roman" w:hAnsi="Times New Roman" w:cs="Times New Roman"/>
      <w:sz w:val="20"/>
      <w:szCs w:val="20"/>
      <w:lang w:eastAsia="cs-CZ"/>
    </w:rPr>
  </w:style>
  <w:style w:type="character" w:styleId="FootnoteReference">
    <w:name w:val="footnote reference"/>
    <w:basedOn w:val="DefaultParagraphFont"/>
    <w:uiPriority w:val="99"/>
    <w:rsid w:val="00A14597"/>
    <w:rPr>
      <w:vertAlign w:val="superscript"/>
    </w:rPr>
  </w:style>
  <w:style w:type="character" w:customStyle="1" w:styleId="googqs-tidbit">
    <w:name w:val="goog_qs-tidbit"/>
    <w:basedOn w:val="DefaultParagraphFont"/>
    <w:rsid w:val="00A14597"/>
  </w:style>
  <w:style w:type="character" w:customStyle="1" w:styleId="main1">
    <w:name w:val="main1"/>
    <w:basedOn w:val="DefaultParagraphFont"/>
    <w:rsid w:val="00A14597"/>
    <w:rPr>
      <w:b/>
      <w:bCs/>
      <w:strike w:val="0"/>
      <w:dstrike w:val="0"/>
      <w:color w:val="0C352B"/>
      <w:u w:val="none"/>
      <w:effect w:val="none"/>
    </w:rPr>
  </w:style>
  <w:style w:type="character" w:customStyle="1" w:styleId="Heading4Char">
    <w:name w:val="Heading 4 Char"/>
    <w:basedOn w:val="DefaultParagraphFont"/>
    <w:link w:val="Heading4"/>
    <w:uiPriority w:val="9"/>
    <w:semiHidden/>
    <w:rsid w:val="00A14597"/>
    <w:rPr>
      <w:rFonts w:asciiTheme="majorHAnsi" w:eastAsiaTheme="majorEastAsia" w:hAnsiTheme="majorHAnsi" w:cstheme="majorBidi"/>
      <w:b/>
      <w:bCs/>
      <w:i/>
      <w:iCs/>
      <w:color w:val="4F81BD" w:themeColor="accent1"/>
      <w:sz w:val="24"/>
      <w:szCs w:val="24"/>
      <w:lang w:eastAsia="cs-CZ"/>
    </w:rPr>
  </w:style>
  <w:style w:type="character" w:customStyle="1" w:styleId="st1">
    <w:name w:val="st1"/>
    <w:basedOn w:val="DefaultParagraphFont"/>
    <w:rsid w:val="00A14597"/>
  </w:style>
  <w:style w:type="paragraph" w:styleId="BalloonText">
    <w:name w:val="Balloon Text"/>
    <w:basedOn w:val="Normal"/>
    <w:link w:val="BalloonTextChar"/>
    <w:uiPriority w:val="99"/>
    <w:semiHidden/>
    <w:unhideWhenUsed/>
    <w:rsid w:val="00A14597"/>
    <w:rPr>
      <w:rFonts w:ascii="Tahoma" w:hAnsi="Tahoma" w:cs="Tahoma"/>
      <w:sz w:val="16"/>
      <w:szCs w:val="16"/>
    </w:rPr>
  </w:style>
  <w:style w:type="character" w:customStyle="1" w:styleId="BalloonTextChar">
    <w:name w:val="Balloon Text Char"/>
    <w:basedOn w:val="DefaultParagraphFont"/>
    <w:link w:val="BalloonText"/>
    <w:uiPriority w:val="99"/>
    <w:semiHidden/>
    <w:rsid w:val="00A14597"/>
    <w:rPr>
      <w:rFonts w:ascii="Tahoma" w:eastAsia="Times New Roman" w:hAnsi="Tahoma" w:cs="Tahoma"/>
      <w:sz w:val="16"/>
      <w:szCs w:val="16"/>
      <w:lang w:eastAsia="cs-CZ"/>
    </w:rPr>
  </w:style>
  <w:style w:type="paragraph" w:customStyle="1" w:styleId="Abstract">
    <w:name w:val="Abstract"/>
    <w:basedOn w:val="Normal"/>
    <w:autoRedefine/>
    <w:rsid w:val="002E05B6"/>
    <w:pPr>
      <w:autoSpaceDE w:val="0"/>
      <w:autoSpaceDN w:val="0"/>
      <w:ind w:right="567"/>
      <w:jc w:val="both"/>
    </w:pPr>
    <w:rPr>
      <w:b/>
      <w:lang w:val="cs-CZ"/>
    </w:rPr>
  </w:style>
  <w:style w:type="character" w:styleId="HTMLCite">
    <w:name w:val="HTML Cite"/>
    <w:uiPriority w:val="99"/>
    <w:unhideWhenUsed/>
    <w:rsid w:val="008A1443"/>
    <w:rPr>
      <w:i/>
      <w:iCs/>
    </w:rPr>
  </w:style>
  <w:style w:type="character" w:customStyle="1" w:styleId="citation">
    <w:name w:val="citation"/>
    <w:basedOn w:val="DefaultParagraphFont"/>
    <w:rsid w:val="008A1443"/>
    <w:rPr>
      <w:i w:val="0"/>
      <w:iCs w:val="0"/>
    </w:rPr>
  </w:style>
  <w:style w:type="character" w:customStyle="1" w:styleId="z3988">
    <w:name w:val="z3988"/>
    <w:basedOn w:val="DefaultParagraphFont"/>
    <w:rsid w:val="008A1443"/>
  </w:style>
  <w:style w:type="character" w:customStyle="1" w:styleId="ft">
    <w:name w:val="ft"/>
    <w:basedOn w:val="DefaultParagraphFont"/>
    <w:rsid w:val="008A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84187">
      <w:bodyDiv w:val="1"/>
      <w:marLeft w:val="0"/>
      <w:marRight w:val="0"/>
      <w:marTop w:val="0"/>
      <w:marBottom w:val="0"/>
      <w:divBdr>
        <w:top w:val="none" w:sz="0" w:space="0" w:color="auto"/>
        <w:left w:val="none" w:sz="0" w:space="0" w:color="auto"/>
        <w:bottom w:val="none" w:sz="0" w:space="0" w:color="auto"/>
        <w:right w:val="none" w:sz="0" w:space="0" w:color="auto"/>
      </w:divBdr>
    </w:div>
    <w:div w:id="822234349">
      <w:bodyDiv w:val="1"/>
      <w:marLeft w:val="0"/>
      <w:marRight w:val="0"/>
      <w:marTop w:val="0"/>
      <w:marBottom w:val="0"/>
      <w:divBdr>
        <w:top w:val="none" w:sz="0" w:space="0" w:color="auto"/>
        <w:left w:val="none" w:sz="0" w:space="0" w:color="auto"/>
        <w:bottom w:val="none" w:sz="0" w:space="0" w:color="auto"/>
        <w:right w:val="none" w:sz="0" w:space="0" w:color="auto"/>
      </w:divBdr>
    </w:div>
    <w:div w:id="845677062">
      <w:bodyDiv w:val="1"/>
      <w:marLeft w:val="0"/>
      <w:marRight w:val="0"/>
      <w:marTop w:val="0"/>
      <w:marBottom w:val="0"/>
      <w:divBdr>
        <w:top w:val="none" w:sz="0" w:space="0" w:color="auto"/>
        <w:left w:val="none" w:sz="0" w:space="0" w:color="auto"/>
        <w:bottom w:val="none" w:sz="0" w:space="0" w:color="auto"/>
        <w:right w:val="none" w:sz="0" w:space="0" w:color="auto"/>
      </w:divBdr>
    </w:div>
    <w:div w:id="18635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en.wikipedia.org/wiki/Special:BookSources/978-0-226-04120-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en.wikipedia.org/wiki/International_Standard_Book_Number" TargetMode="External"/><Relationship Id="rId2" Type="http://schemas.openxmlformats.org/officeDocument/2006/relationships/numbering" Target="numbering.xml"/><Relationship Id="rId16" Type="http://schemas.openxmlformats.org/officeDocument/2006/relationships/hyperlink" Target="http://arra.sk" TargetMode="External"/><Relationship Id="rId20" Type="http://schemas.openxmlformats.org/officeDocument/2006/relationships/hyperlink" Target="http://www.eurojournal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2020"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emf"/><Relationship Id="rId19" Type="http://schemas.openxmlformats.org/officeDocument/2006/relationships/hyperlink" Target="http://ec.europa.eu/europe202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PhD%20studium\Moja%20pracicka\Kapitola%204%20Factors%20surveys\Tertiary%20education%20attainmen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busikova\Desktop\ine\USB\PhD%20studium\Moja%20pracicka\Kapitola%205%20Factor%20analysis\Excel\Info%20o%20VS%20v%20S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PhD%20studium\Moja%20pracicka\Kapitola%204%20Factors%20surveys\Tertiary%20ed%20att_%20Survey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PhD%20studium\Moja%20pracicka\Kapitola%204%20Factors%20surveys\Tertiary%20ed%20att_%20Survey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'Tertiary Education'!$A$4</c:f>
              <c:strCache>
                <c:ptCount val="1"/>
                <c:pt idx="0">
                  <c:v>EU27</c:v>
                </c:pt>
              </c:strCache>
            </c:strRef>
          </c:tx>
          <c:cat>
            <c:strRef>
              <c:f>'Tertiary Education'!$B$3:$L$3</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'Tertiary Education'!$B$4:$L$4</c:f>
              <c:numCache>
                <c:formatCode>General</c:formatCode>
                <c:ptCount val="11"/>
                <c:pt idx="0">
                  <c:v>22.4</c:v>
                </c:pt>
                <c:pt idx="1">
                  <c:v>22.8</c:v>
                </c:pt>
                <c:pt idx="2">
                  <c:v>23.5</c:v>
                </c:pt>
                <c:pt idx="3">
                  <c:v>25</c:v>
                </c:pt>
                <c:pt idx="4">
                  <c:v>26.9</c:v>
                </c:pt>
                <c:pt idx="5">
                  <c:v>28</c:v>
                </c:pt>
                <c:pt idx="6">
                  <c:v>28.9</c:v>
                </c:pt>
                <c:pt idx="7">
                  <c:v>30</c:v>
                </c:pt>
                <c:pt idx="8">
                  <c:v>31.1</c:v>
                </c:pt>
                <c:pt idx="9">
                  <c:v>32.300000000000004</c:v>
                </c:pt>
                <c:pt idx="10">
                  <c:v>33.6</c:v>
                </c:pt>
              </c:numCache>
            </c:numRef>
          </c:val>
          <c:smooth val="0"/>
        </c:ser>
        <c:ser>
          <c:idx val="1"/>
          <c:order val="1"/>
          <c:tx>
            <c:strRef>
              <c:f>'Tertiary Education'!$A$5</c:f>
              <c:strCache>
                <c:ptCount val="1"/>
                <c:pt idx="0">
                  <c:v>Czech Republic</c:v>
                </c:pt>
              </c:strCache>
            </c:strRef>
          </c:tx>
          <c:cat>
            <c:strRef>
              <c:f>'Tertiary Education'!$B$3:$L$3</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'Tertiary Education'!$B$5:$L$5</c:f>
              <c:numCache>
                <c:formatCode>General</c:formatCode>
                <c:ptCount val="11"/>
                <c:pt idx="0">
                  <c:v>13.7</c:v>
                </c:pt>
                <c:pt idx="1">
                  <c:v>13.3</c:v>
                </c:pt>
                <c:pt idx="2">
                  <c:v>12.6</c:v>
                </c:pt>
                <c:pt idx="3">
                  <c:v>12.6</c:v>
                </c:pt>
                <c:pt idx="4">
                  <c:v>12.7</c:v>
                </c:pt>
                <c:pt idx="5">
                  <c:v>13</c:v>
                </c:pt>
                <c:pt idx="6">
                  <c:v>13.1</c:v>
                </c:pt>
                <c:pt idx="7">
                  <c:v>13.3</c:v>
                </c:pt>
                <c:pt idx="8">
                  <c:v>15.4</c:v>
                </c:pt>
                <c:pt idx="9">
                  <c:v>17.5</c:v>
                </c:pt>
                <c:pt idx="10">
                  <c:v>20.399999999999999</c:v>
                </c:pt>
              </c:numCache>
            </c:numRef>
          </c:val>
          <c:smooth val="0"/>
        </c:ser>
        <c:ser>
          <c:idx val="2"/>
          <c:order val="2"/>
          <c:tx>
            <c:strRef>
              <c:f>'Tertiary Education'!$A$6</c:f>
              <c:strCache>
                <c:ptCount val="1"/>
                <c:pt idx="0">
                  <c:v>Hungary</c:v>
                </c:pt>
              </c:strCache>
            </c:strRef>
          </c:tx>
          <c:cat>
            <c:strRef>
              <c:f>'Tertiary Education'!$B$3:$L$3</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'Tertiary Education'!$B$6:$L$6</c:f>
              <c:numCache>
                <c:formatCode>General</c:formatCode>
                <c:ptCount val="11"/>
                <c:pt idx="0">
                  <c:v>14.8</c:v>
                </c:pt>
                <c:pt idx="1">
                  <c:v>14.8</c:v>
                </c:pt>
                <c:pt idx="2">
                  <c:v>14.4</c:v>
                </c:pt>
                <c:pt idx="3">
                  <c:v>16.3</c:v>
                </c:pt>
                <c:pt idx="4">
                  <c:v>18.5</c:v>
                </c:pt>
                <c:pt idx="5">
                  <c:v>17.899999999999999</c:v>
                </c:pt>
                <c:pt idx="6">
                  <c:v>19</c:v>
                </c:pt>
                <c:pt idx="7">
                  <c:v>20.100000000000001</c:v>
                </c:pt>
                <c:pt idx="8">
                  <c:v>22.4</c:v>
                </c:pt>
                <c:pt idx="9">
                  <c:v>23.9</c:v>
                </c:pt>
                <c:pt idx="10">
                  <c:v>25.7</c:v>
                </c:pt>
              </c:numCache>
            </c:numRef>
          </c:val>
          <c:smooth val="0"/>
        </c:ser>
        <c:ser>
          <c:idx val="3"/>
          <c:order val="3"/>
          <c:tx>
            <c:strRef>
              <c:f>'Tertiary Education'!$A$7</c:f>
              <c:strCache>
                <c:ptCount val="1"/>
                <c:pt idx="0">
                  <c:v>Poland</c:v>
                </c:pt>
              </c:strCache>
            </c:strRef>
          </c:tx>
          <c:cat>
            <c:strRef>
              <c:f>'Tertiary Education'!$B$3:$L$3</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'Tertiary Education'!$B$7:$L$7</c:f>
              <c:numCache>
                <c:formatCode>General</c:formatCode>
                <c:ptCount val="11"/>
                <c:pt idx="0">
                  <c:v>12.5</c:v>
                </c:pt>
                <c:pt idx="1">
                  <c:v>13.2</c:v>
                </c:pt>
                <c:pt idx="2">
                  <c:v>14.4</c:v>
                </c:pt>
                <c:pt idx="3">
                  <c:v>17.2</c:v>
                </c:pt>
                <c:pt idx="4">
                  <c:v>20.399999999999999</c:v>
                </c:pt>
                <c:pt idx="5">
                  <c:v>22.7</c:v>
                </c:pt>
                <c:pt idx="6">
                  <c:v>24.7</c:v>
                </c:pt>
                <c:pt idx="7">
                  <c:v>27</c:v>
                </c:pt>
                <c:pt idx="8">
                  <c:v>29.7</c:v>
                </c:pt>
                <c:pt idx="9">
                  <c:v>32.800000000000004</c:v>
                </c:pt>
                <c:pt idx="10">
                  <c:v>35.300000000000004</c:v>
                </c:pt>
              </c:numCache>
            </c:numRef>
          </c:val>
          <c:smooth val="0"/>
        </c:ser>
        <c:ser>
          <c:idx val="4"/>
          <c:order val="4"/>
          <c:tx>
            <c:strRef>
              <c:f>'Tertiary Education'!$A$8</c:f>
              <c:strCache>
                <c:ptCount val="1"/>
                <c:pt idx="0">
                  <c:v>Slovakia</c:v>
                </c:pt>
              </c:strCache>
            </c:strRef>
          </c:tx>
          <c:cat>
            <c:strRef>
              <c:f>'Tertiary Education'!$B$3:$L$3</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'Tertiary Education'!$B$8:$L$8</c:f>
              <c:numCache>
                <c:formatCode>General</c:formatCode>
                <c:ptCount val="11"/>
                <c:pt idx="0">
                  <c:v>10.6</c:v>
                </c:pt>
                <c:pt idx="1">
                  <c:v>10.7</c:v>
                </c:pt>
                <c:pt idx="2">
                  <c:v>10.5</c:v>
                </c:pt>
                <c:pt idx="3">
                  <c:v>11.5</c:v>
                </c:pt>
                <c:pt idx="4">
                  <c:v>12.9</c:v>
                </c:pt>
                <c:pt idx="5">
                  <c:v>14.3</c:v>
                </c:pt>
                <c:pt idx="6">
                  <c:v>14.4</c:v>
                </c:pt>
                <c:pt idx="7">
                  <c:v>14.8</c:v>
                </c:pt>
                <c:pt idx="8">
                  <c:v>15.8</c:v>
                </c:pt>
                <c:pt idx="9">
                  <c:v>17.600000000000001</c:v>
                </c:pt>
                <c:pt idx="10">
                  <c:v>22.1</c:v>
                </c:pt>
              </c:numCache>
            </c:numRef>
          </c:val>
          <c:smooth val="0"/>
        </c:ser>
        <c:dLbls>
          <c:showLegendKey val="0"/>
          <c:showVal val="0"/>
          <c:showCatName val="0"/>
          <c:showSerName val="0"/>
          <c:showPercent val="0"/>
          <c:showBubbleSize val="0"/>
        </c:dLbls>
        <c:marker val="1"/>
        <c:smooth val="0"/>
        <c:axId val="236203008"/>
        <c:axId val="183813248"/>
      </c:lineChart>
      <c:catAx>
        <c:axId val="236203008"/>
        <c:scaling>
          <c:orientation val="minMax"/>
        </c:scaling>
        <c:delete val="0"/>
        <c:axPos val="b"/>
        <c:numFmt formatCode="General" sourceLinked="1"/>
        <c:majorTickMark val="out"/>
        <c:minorTickMark val="none"/>
        <c:tickLblPos val="nextTo"/>
        <c:txPr>
          <a:bodyPr/>
          <a:lstStyle/>
          <a:p>
            <a:pPr>
              <a:defRPr sz="900"/>
            </a:pPr>
            <a:endParaRPr lang="en-US"/>
          </a:p>
        </c:txPr>
        <c:crossAx val="183813248"/>
        <c:crosses val="autoZero"/>
        <c:auto val="1"/>
        <c:lblAlgn val="ctr"/>
        <c:lblOffset val="100"/>
        <c:noMultiLvlLbl val="0"/>
      </c:catAx>
      <c:valAx>
        <c:axId val="183813248"/>
        <c:scaling>
          <c:orientation val="minMax"/>
          <c:max val="37"/>
          <c:min val="5"/>
        </c:scaling>
        <c:delete val="0"/>
        <c:axPos val="l"/>
        <c:majorGridlines/>
        <c:numFmt formatCode="General" sourceLinked="1"/>
        <c:majorTickMark val="out"/>
        <c:minorTickMark val="none"/>
        <c:tickLblPos val="nextTo"/>
        <c:txPr>
          <a:bodyPr/>
          <a:lstStyle/>
          <a:p>
            <a:pPr>
              <a:defRPr sz="900"/>
            </a:pPr>
            <a:endParaRPr lang="en-US"/>
          </a:p>
        </c:txPr>
        <c:crossAx val="236203008"/>
        <c:crosses val="autoZero"/>
        <c:crossBetween val="between"/>
      </c:valAx>
    </c:plotArea>
    <c:legend>
      <c:legendPos val="b"/>
      <c:layout>
        <c:manualLayout>
          <c:xMode val="edge"/>
          <c:yMode val="edge"/>
          <c:x val="0"/>
          <c:y val="0.90971157372451761"/>
          <c:w val="0.99869918699186988"/>
          <c:h val="6.6336173731708192E-2"/>
        </c:manualLayout>
      </c:layout>
      <c:overlay val="0"/>
      <c:txPr>
        <a:bodyPr/>
        <a:lstStyle/>
        <a:p>
          <a:pPr>
            <a:defRPr sz="900"/>
          </a:pPr>
          <a:endParaRPr lang="en-US"/>
        </a:p>
      </c:txPr>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'Prehlad SU SR'!$A$6</c:f>
              <c:strCache>
                <c:ptCount val="1"/>
                <c:pt idx="0">
                  <c:v>Number of univerisites</c:v>
                </c:pt>
              </c:strCache>
            </c:strRef>
          </c:tx>
          <c:cat>
            <c:numRef>
              <c:f>'Prehlad SU SR'!$B$5:$W$5</c:f>
              <c:numCache>
                <c:formatCode>General</c:formatCode>
                <c:ptCount val="22"/>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numCache>
            </c:numRef>
          </c:cat>
          <c:val>
            <c:numRef>
              <c:f>'Prehlad SU SR'!$B$6:$W$6</c:f>
              <c:numCache>
                <c:formatCode>General</c:formatCode>
                <c:ptCount val="22"/>
                <c:pt idx="0">
                  <c:v>13</c:v>
                </c:pt>
                <c:pt idx="1">
                  <c:v>13</c:v>
                </c:pt>
                <c:pt idx="2">
                  <c:v>13</c:v>
                </c:pt>
                <c:pt idx="3">
                  <c:v>14</c:v>
                </c:pt>
                <c:pt idx="4">
                  <c:v>14</c:v>
                </c:pt>
                <c:pt idx="5">
                  <c:v>14</c:v>
                </c:pt>
                <c:pt idx="6">
                  <c:v>14</c:v>
                </c:pt>
                <c:pt idx="7">
                  <c:v>14</c:v>
                </c:pt>
                <c:pt idx="8">
                  <c:v>18</c:v>
                </c:pt>
                <c:pt idx="9">
                  <c:v>18</c:v>
                </c:pt>
                <c:pt idx="10">
                  <c:v>18</c:v>
                </c:pt>
                <c:pt idx="11">
                  <c:v>20</c:v>
                </c:pt>
                <c:pt idx="12">
                  <c:v>20</c:v>
                </c:pt>
                <c:pt idx="13">
                  <c:v>20</c:v>
                </c:pt>
                <c:pt idx="14">
                  <c:v>21</c:v>
                </c:pt>
                <c:pt idx="15">
                  <c:v>24</c:v>
                </c:pt>
                <c:pt idx="16">
                  <c:v>26</c:v>
                </c:pt>
                <c:pt idx="17">
                  <c:v>30</c:v>
                </c:pt>
                <c:pt idx="18">
                  <c:v>33</c:v>
                </c:pt>
                <c:pt idx="19">
                  <c:v>33</c:v>
                </c:pt>
                <c:pt idx="20">
                  <c:v>33</c:v>
                </c:pt>
                <c:pt idx="21">
                  <c:v>33</c:v>
                </c:pt>
              </c:numCache>
            </c:numRef>
          </c:val>
          <c:smooth val="0"/>
        </c:ser>
        <c:ser>
          <c:idx val="1"/>
          <c:order val="1"/>
          <c:tx>
            <c:strRef>
              <c:f>'Prehlad SU SR'!$A$9</c:f>
              <c:strCache>
                <c:ptCount val="1"/>
                <c:pt idx="0">
                  <c:v>FT Students per FT teacher</c:v>
                </c:pt>
              </c:strCache>
            </c:strRef>
          </c:tx>
          <c:cat>
            <c:numRef>
              <c:f>'Prehlad SU SR'!$B$5:$W$5</c:f>
              <c:numCache>
                <c:formatCode>General</c:formatCode>
                <c:ptCount val="22"/>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numCache>
            </c:numRef>
          </c:cat>
          <c:val>
            <c:numRef>
              <c:f>'Prehlad SU SR'!$B$9:$W$9</c:f>
              <c:numCache>
                <c:formatCode>#,##0</c:formatCode>
                <c:ptCount val="22"/>
                <c:pt idx="0">
                  <c:v>6.336338932806326</c:v>
                </c:pt>
                <c:pt idx="1">
                  <c:v>6.9519058582757713</c:v>
                </c:pt>
                <c:pt idx="2">
                  <c:v>6.8544392226597211</c:v>
                </c:pt>
                <c:pt idx="3">
                  <c:v>7.0381340244353945</c:v>
                </c:pt>
                <c:pt idx="4">
                  <c:v>7.8847985583730207</c:v>
                </c:pt>
                <c:pt idx="5">
                  <c:v>8.873152551085985</c:v>
                </c:pt>
                <c:pt idx="6">
                  <c:v>9.274020464187668</c:v>
                </c:pt>
                <c:pt idx="7">
                  <c:v>9.4346540508574801</c:v>
                </c:pt>
                <c:pt idx="8">
                  <c:v>9.5573266537629546</c:v>
                </c:pt>
                <c:pt idx="9">
                  <c:v>9.735918641037097</c:v>
                </c:pt>
                <c:pt idx="10">
                  <c:v>9.9025306663719768</c:v>
                </c:pt>
                <c:pt idx="11">
                  <c:v>10.260086216425341</c:v>
                </c:pt>
                <c:pt idx="12">
                  <c:v>10.041785979425178</c:v>
                </c:pt>
                <c:pt idx="13">
                  <c:v>10.275819545781523</c:v>
                </c:pt>
                <c:pt idx="14">
                  <c:v>10.058278812279818</c:v>
                </c:pt>
                <c:pt idx="15">
                  <c:v>10.786374019267059</c:v>
                </c:pt>
                <c:pt idx="16">
                  <c:v>11.369373776908024</c:v>
                </c:pt>
                <c:pt idx="17">
                  <c:v>11.961501719526176</c:v>
                </c:pt>
                <c:pt idx="18">
                  <c:v>12.335360235857753</c:v>
                </c:pt>
                <c:pt idx="19">
                  <c:v>13.832544378698232</c:v>
                </c:pt>
                <c:pt idx="20">
                  <c:v>13.139129641456067</c:v>
                </c:pt>
                <c:pt idx="21">
                  <c:v>12.736189608021878</c:v>
                </c:pt>
              </c:numCache>
            </c:numRef>
          </c:val>
          <c:smooth val="0"/>
        </c:ser>
        <c:ser>
          <c:idx val="2"/>
          <c:order val="2"/>
          <c:tx>
            <c:strRef>
              <c:f>'Prehlad SU SR'!$A$10</c:f>
              <c:strCache>
                <c:ptCount val="1"/>
                <c:pt idx="0">
                  <c:v>FT Students per FT associate professor or professor</c:v>
                </c:pt>
              </c:strCache>
            </c:strRef>
          </c:tx>
          <c:cat>
            <c:numRef>
              <c:f>'Prehlad SU SR'!$B$5:$W$5</c:f>
              <c:numCache>
                <c:formatCode>General</c:formatCode>
                <c:ptCount val="22"/>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numCache>
            </c:numRef>
          </c:cat>
          <c:val>
            <c:numRef>
              <c:f>'Prehlad SU SR'!$B$10:$W$10</c:f>
              <c:numCache>
                <c:formatCode>#,##0</c:formatCode>
                <c:ptCount val="22"/>
                <c:pt idx="0">
                  <c:v>17.139659204811228</c:v>
                </c:pt>
                <c:pt idx="1">
                  <c:v>19.494261119081788</c:v>
                </c:pt>
                <c:pt idx="2">
                  <c:v>19.78914558122478</c:v>
                </c:pt>
                <c:pt idx="3">
                  <c:v>20.13060360042358</c:v>
                </c:pt>
                <c:pt idx="4">
                  <c:v>22.082552271088673</c:v>
                </c:pt>
                <c:pt idx="5">
                  <c:v>24.933911159263271</c:v>
                </c:pt>
                <c:pt idx="6">
                  <c:v>26.014000700035005</c:v>
                </c:pt>
                <c:pt idx="7">
                  <c:v>26.598866288762913</c:v>
                </c:pt>
                <c:pt idx="8">
                  <c:v>26.930381777350018</c:v>
                </c:pt>
                <c:pt idx="9">
                  <c:v>27.283745693704972</c:v>
                </c:pt>
                <c:pt idx="10">
                  <c:v>27.261332522056588</c:v>
                </c:pt>
                <c:pt idx="11">
                  <c:v>28.368887530562333</c:v>
                </c:pt>
                <c:pt idx="12">
                  <c:v>27.831863609641395</c:v>
                </c:pt>
                <c:pt idx="13">
                  <c:v>29.110334788937408</c:v>
                </c:pt>
                <c:pt idx="14">
                  <c:v>29.696582466567609</c:v>
                </c:pt>
                <c:pt idx="15">
                  <c:v>30.995433789954323</c:v>
                </c:pt>
                <c:pt idx="16">
                  <c:v>32.869872701555884</c:v>
                </c:pt>
                <c:pt idx="17">
                  <c:v>34.006789788158606</c:v>
                </c:pt>
                <c:pt idx="18">
                  <c:v>29.77273738047586</c:v>
                </c:pt>
                <c:pt idx="19">
                  <c:v>39.14652525816355</c:v>
                </c:pt>
                <c:pt idx="20">
                  <c:v>36.880409731113943</c:v>
                </c:pt>
                <c:pt idx="21">
                  <c:v>36.271028037383175</c:v>
                </c:pt>
              </c:numCache>
            </c:numRef>
          </c:val>
          <c:smooth val="0"/>
        </c:ser>
        <c:dLbls>
          <c:showLegendKey val="0"/>
          <c:showVal val="0"/>
          <c:showCatName val="0"/>
          <c:showSerName val="0"/>
          <c:showPercent val="0"/>
          <c:showBubbleSize val="0"/>
        </c:dLbls>
        <c:marker val="1"/>
        <c:smooth val="0"/>
        <c:axId val="186917632"/>
        <c:axId val="186919168"/>
      </c:lineChart>
      <c:catAx>
        <c:axId val="186917632"/>
        <c:scaling>
          <c:orientation val="minMax"/>
        </c:scaling>
        <c:delete val="0"/>
        <c:axPos val="b"/>
        <c:numFmt formatCode="General" sourceLinked="1"/>
        <c:majorTickMark val="out"/>
        <c:minorTickMark val="none"/>
        <c:tickLblPos val="nextTo"/>
        <c:txPr>
          <a:bodyPr/>
          <a:lstStyle/>
          <a:p>
            <a:pPr>
              <a:defRPr sz="700"/>
            </a:pPr>
            <a:endParaRPr lang="en-US"/>
          </a:p>
        </c:txPr>
        <c:crossAx val="186919168"/>
        <c:crosses val="autoZero"/>
        <c:auto val="1"/>
        <c:lblAlgn val="ctr"/>
        <c:lblOffset val="100"/>
        <c:noMultiLvlLbl val="0"/>
      </c:catAx>
      <c:valAx>
        <c:axId val="186919168"/>
        <c:scaling>
          <c:orientation val="minMax"/>
          <c:max val="40"/>
          <c:min val="0"/>
        </c:scaling>
        <c:delete val="0"/>
        <c:axPos val="l"/>
        <c:majorGridlines/>
        <c:numFmt formatCode="General" sourceLinked="1"/>
        <c:majorTickMark val="out"/>
        <c:minorTickMark val="none"/>
        <c:tickLblPos val="nextTo"/>
        <c:txPr>
          <a:bodyPr/>
          <a:lstStyle/>
          <a:p>
            <a:pPr>
              <a:defRPr sz="700"/>
            </a:pPr>
            <a:endParaRPr lang="en-US"/>
          </a:p>
        </c:txPr>
        <c:crossAx val="186917632"/>
        <c:crosses val="autoZero"/>
        <c:crossBetween val="between"/>
      </c:valAx>
    </c:plotArea>
    <c:legend>
      <c:legendPos val="b"/>
      <c:overlay val="0"/>
    </c:legend>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284984831441884"/>
          <c:y val="3.4206962374217352E-2"/>
          <c:w val="0.55740559702764358"/>
          <c:h val="0.7624397107101426"/>
        </c:manualLayout>
      </c:layout>
      <c:barChart>
        <c:barDir val="bar"/>
        <c:grouping val="percentStacked"/>
        <c:varyColors val="0"/>
        <c:ser>
          <c:idx val="0"/>
          <c:order val="0"/>
          <c:tx>
            <c:strRef>
              <c:f>Ucitelia!$B$3</c:f>
              <c:strCache>
                <c:ptCount val="1"/>
                <c:pt idx="0">
                  <c:v>strongly disagree</c:v>
                </c:pt>
              </c:strCache>
            </c:strRef>
          </c:tx>
          <c:invertIfNegative val="0"/>
          <c:cat>
            <c:strRef>
              <c:f>Ucitelia!$A$4:$A$6</c:f>
              <c:strCache>
                <c:ptCount val="3"/>
                <c:pt idx="0">
                  <c:v>There are too many university educated people in Slovakia for the needs of the job market.</c:v>
                </c:pt>
                <c:pt idx="1">
                  <c:v>The competition of the institutions of higher education in Slovakia (expressed as the number of HEIs) is sufficient.</c:v>
                </c:pt>
                <c:pt idx="2">
                  <c:v>The quality of the tertiary education in Slovakia is better during this period (2000-2011) than was in the past (1989-2000).</c:v>
                </c:pt>
              </c:strCache>
            </c:strRef>
          </c:cat>
          <c:val>
            <c:numRef>
              <c:f>Ucitelia!$B$4:$B$6</c:f>
              <c:numCache>
                <c:formatCode>General</c:formatCode>
                <c:ptCount val="3"/>
                <c:pt idx="0">
                  <c:v>141</c:v>
                </c:pt>
                <c:pt idx="1">
                  <c:v>157</c:v>
                </c:pt>
                <c:pt idx="2">
                  <c:v>339</c:v>
                </c:pt>
              </c:numCache>
            </c:numRef>
          </c:val>
        </c:ser>
        <c:ser>
          <c:idx val="1"/>
          <c:order val="1"/>
          <c:tx>
            <c:strRef>
              <c:f>Ucitelia!$C$3</c:f>
              <c:strCache>
                <c:ptCount val="1"/>
                <c:pt idx="0">
                  <c:v>slightly disagree</c:v>
                </c:pt>
              </c:strCache>
            </c:strRef>
          </c:tx>
          <c:invertIfNegative val="0"/>
          <c:cat>
            <c:strRef>
              <c:f>Ucitelia!$A$4:$A$6</c:f>
              <c:strCache>
                <c:ptCount val="3"/>
                <c:pt idx="0">
                  <c:v>There are too many university educated people in Slovakia for the needs of the job market.</c:v>
                </c:pt>
                <c:pt idx="1">
                  <c:v>The competition of the institutions of higher education in Slovakia (expressed as the number of HEIs) is sufficient.</c:v>
                </c:pt>
                <c:pt idx="2">
                  <c:v>The quality of the tertiary education in Slovakia is better during this period (2000-2011) than was in the past (1989-2000).</c:v>
                </c:pt>
              </c:strCache>
            </c:strRef>
          </c:cat>
          <c:val>
            <c:numRef>
              <c:f>Ucitelia!$C$4:$C$6</c:f>
              <c:numCache>
                <c:formatCode>General</c:formatCode>
                <c:ptCount val="3"/>
                <c:pt idx="0">
                  <c:v>297</c:v>
                </c:pt>
                <c:pt idx="1">
                  <c:v>266</c:v>
                </c:pt>
                <c:pt idx="2">
                  <c:v>507</c:v>
                </c:pt>
              </c:numCache>
            </c:numRef>
          </c:val>
        </c:ser>
        <c:ser>
          <c:idx val="2"/>
          <c:order val="2"/>
          <c:tx>
            <c:strRef>
              <c:f>Ucitelia!$D$3</c:f>
              <c:strCache>
                <c:ptCount val="1"/>
                <c:pt idx="0">
                  <c:v>slightly agree</c:v>
                </c:pt>
              </c:strCache>
            </c:strRef>
          </c:tx>
          <c:invertIfNegative val="0"/>
          <c:cat>
            <c:strRef>
              <c:f>Ucitelia!$A$4:$A$6</c:f>
              <c:strCache>
                <c:ptCount val="3"/>
                <c:pt idx="0">
                  <c:v>There are too many university educated people in Slovakia for the needs of the job market.</c:v>
                </c:pt>
                <c:pt idx="1">
                  <c:v>The competition of the institutions of higher education in Slovakia (expressed as the number of HEIs) is sufficient.</c:v>
                </c:pt>
                <c:pt idx="2">
                  <c:v>The quality of the tertiary education in Slovakia is better during this period (2000-2011) than was in the past (1989-2000).</c:v>
                </c:pt>
              </c:strCache>
            </c:strRef>
          </c:cat>
          <c:val>
            <c:numRef>
              <c:f>Ucitelia!$D$4:$D$6</c:f>
              <c:numCache>
                <c:formatCode>General</c:formatCode>
                <c:ptCount val="3"/>
                <c:pt idx="0">
                  <c:v>411</c:v>
                </c:pt>
                <c:pt idx="1">
                  <c:v>459</c:v>
                </c:pt>
                <c:pt idx="2">
                  <c:v>369</c:v>
                </c:pt>
              </c:numCache>
            </c:numRef>
          </c:val>
        </c:ser>
        <c:ser>
          <c:idx val="3"/>
          <c:order val="3"/>
          <c:tx>
            <c:strRef>
              <c:f>Ucitelia!$E$3</c:f>
              <c:strCache>
                <c:ptCount val="1"/>
                <c:pt idx="0">
                  <c:v>strongly agree</c:v>
                </c:pt>
              </c:strCache>
            </c:strRef>
          </c:tx>
          <c:invertIfNegative val="0"/>
          <c:cat>
            <c:strRef>
              <c:f>Ucitelia!$A$4:$A$6</c:f>
              <c:strCache>
                <c:ptCount val="3"/>
                <c:pt idx="0">
                  <c:v>There are too many university educated people in Slovakia for the needs of the job market.</c:v>
                </c:pt>
                <c:pt idx="1">
                  <c:v>The competition of the institutions of higher education in Slovakia (expressed as the number of HEIs) is sufficient.</c:v>
                </c:pt>
                <c:pt idx="2">
                  <c:v>The quality of the tertiary education in Slovakia is better during this period (2000-2011) than was in the past (1989-2000).</c:v>
                </c:pt>
              </c:strCache>
            </c:strRef>
          </c:cat>
          <c:val>
            <c:numRef>
              <c:f>Ucitelia!$E$4:$E$6</c:f>
              <c:numCache>
                <c:formatCode>General</c:formatCode>
                <c:ptCount val="3"/>
                <c:pt idx="0">
                  <c:v>422</c:v>
                </c:pt>
                <c:pt idx="1">
                  <c:v>436</c:v>
                </c:pt>
                <c:pt idx="2">
                  <c:v>114</c:v>
                </c:pt>
              </c:numCache>
            </c:numRef>
          </c:val>
        </c:ser>
        <c:ser>
          <c:idx val="4"/>
          <c:order val="4"/>
          <c:tx>
            <c:strRef>
              <c:f>Ucitelia!$F$3</c:f>
              <c:strCache>
                <c:ptCount val="1"/>
                <c:pt idx="0">
                  <c:v>I don't know</c:v>
                </c:pt>
              </c:strCache>
            </c:strRef>
          </c:tx>
          <c:invertIfNegative val="0"/>
          <c:cat>
            <c:strRef>
              <c:f>Ucitelia!$A$4:$A$6</c:f>
              <c:strCache>
                <c:ptCount val="3"/>
                <c:pt idx="0">
                  <c:v>There are too many university educated people in Slovakia for the needs of the job market.</c:v>
                </c:pt>
                <c:pt idx="1">
                  <c:v>The competition of the institutions of higher education in Slovakia (expressed as the number of HEIs) is sufficient.</c:v>
                </c:pt>
                <c:pt idx="2">
                  <c:v>The quality of the tertiary education in Slovakia is better during this period (2000-2011) than was in the past (1989-2000).</c:v>
                </c:pt>
              </c:strCache>
            </c:strRef>
          </c:cat>
          <c:val>
            <c:numRef>
              <c:f>Ucitelia!$F$4:$F$6</c:f>
              <c:numCache>
                <c:formatCode>General</c:formatCode>
                <c:ptCount val="3"/>
                <c:pt idx="0">
                  <c:v>124</c:v>
                </c:pt>
                <c:pt idx="1">
                  <c:v>69</c:v>
                </c:pt>
                <c:pt idx="2">
                  <c:v>75</c:v>
                </c:pt>
              </c:numCache>
            </c:numRef>
          </c:val>
        </c:ser>
        <c:dLbls>
          <c:showLegendKey val="0"/>
          <c:showVal val="0"/>
          <c:showCatName val="0"/>
          <c:showSerName val="0"/>
          <c:showPercent val="0"/>
          <c:showBubbleSize val="0"/>
        </c:dLbls>
        <c:gapWidth val="150"/>
        <c:overlap val="100"/>
        <c:axId val="186935936"/>
        <c:axId val="186937728"/>
      </c:barChart>
      <c:catAx>
        <c:axId val="186935936"/>
        <c:scaling>
          <c:orientation val="maxMin"/>
        </c:scaling>
        <c:delete val="0"/>
        <c:axPos val="l"/>
        <c:numFmt formatCode="General" sourceLinked="1"/>
        <c:majorTickMark val="none"/>
        <c:minorTickMark val="none"/>
        <c:tickLblPos val="nextTo"/>
        <c:spPr>
          <a:ln w="3175">
            <a:solidFill>
              <a:srgbClr val="808080"/>
            </a:solidFill>
            <a:prstDash val="solid"/>
          </a:ln>
        </c:spPr>
        <c:txPr>
          <a:bodyPr rot="0" vert="horz"/>
          <a:lstStyle/>
          <a:p>
            <a:pPr>
              <a:defRPr sz="900" b="0" i="0" u="none" strike="noStrike" baseline="0">
                <a:solidFill>
                  <a:srgbClr val="333333"/>
                </a:solidFill>
                <a:latin typeface="Times New Roman" pitchFamily="18" charset="0"/>
                <a:ea typeface="Calibri"/>
                <a:cs typeface="Times New Roman" pitchFamily="18" charset="0"/>
              </a:defRPr>
            </a:pPr>
            <a:endParaRPr lang="en-US"/>
          </a:p>
        </c:txPr>
        <c:crossAx val="186937728"/>
        <c:crosses val="autoZero"/>
        <c:auto val="1"/>
        <c:lblAlgn val="ctr"/>
        <c:lblOffset val="100"/>
        <c:noMultiLvlLbl val="0"/>
      </c:catAx>
      <c:valAx>
        <c:axId val="186937728"/>
        <c:scaling>
          <c:orientation val="minMax"/>
        </c:scaling>
        <c:delete val="0"/>
        <c:axPos val="t"/>
        <c:majorGridlines>
          <c:spPr>
            <a:ln w="3175">
              <a:solidFill>
                <a:srgbClr val="808080"/>
              </a:solidFill>
              <a:prstDash val="solid"/>
            </a:ln>
          </c:spPr>
        </c:majorGridlines>
        <c:numFmt formatCode="0%" sourceLinked="1"/>
        <c:majorTickMark val="out"/>
        <c:minorTickMark val="none"/>
        <c:tickLblPos val="nextTo"/>
        <c:spPr>
          <a:ln w="3175">
            <a:solidFill>
              <a:srgbClr val="808080"/>
            </a:solidFill>
            <a:prstDash val="solid"/>
          </a:ln>
        </c:spPr>
        <c:txPr>
          <a:bodyPr rot="0" vert="horz"/>
          <a:lstStyle/>
          <a:p>
            <a:pPr>
              <a:defRPr sz="900" b="0" i="0" u="none" strike="noStrike" baseline="0">
                <a:solidFill>
                  <a:srgbClr val="333333"/>
                </a:solidFill>
                <a:latin typeface="Times New Roman" pitchFamily="18" charset="0"/>
                <a:ea typeface="Calibri"/>
                <a:cs typeface="Times New Roman" pitchFamily="18" charset="0"/>
              </a:defRPr>
            </a:pPr>
            <a:endParaRPr lang="en-US"/>
          </a:p>
        </c:txPr>
        <c:crossAx val="186935936"/>
        <c:crosses val="autoZero"/>
        <c:crossBetween val="between"/>
      </c:valAx>
    </c:plotArea>
    <c:legend>
      <c:legendPos val="b"/>
      <c:layout>
        <c:manualLayout>
          <c:xMode val="edge"/>
          <c:yMode val="edge"/>
          <c:x val="1.8115270313433081E-2"/>
          <c:y val="0.91705948273320004"/>
          <c:w val="0.93951884486660908"/>
          <c:h val="6.0405202158718932E-2"/>
        </c:manualLayout>
      </c:layout>
      <c:overlay val="0"/>
      <c:txPr>
        <a:bodyPr/>
        <a:lstStyle/>
        <a:p>
          <a:pPr>
            <a:defRPr sz="900" b="0" i="0" u="none" strike="noStrike" baseline="0">
              <a:solidFill>
                <a:srgbClr val="333333"/>
              </a:solidFill>
              <a:latin typeface="Times New Roman" pitchFamily="18" charset="0"/>
              <a:ea typeface="Calibri"/>
              <a:cs typeface="Times New Roman" pitchFamily="18" charset="0"/>
            </a:defRPr>
          </a:pPr>
          <a:endParaRPr lang="en-US"/>
        </a:p>
      </c:txPr>
    </c:legend>
    <c:plotVisOnly val="1"/>
    <c:dispBlanksAs val="gap"/>
    <c:showDLblsOverMax val="0"/>
  </c:chart>
  <c:spPr>
    <a:solidFill>
      <a:srgbClr val="EEEEEE"/>
    </a:solidFill>
    <a:ln w="3175">
      <a:solidFill>
        <a:srgbClr val="808080"/>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284984831441895"/>
          <c:y val="3.4206962374217352E-2"/>
          <c:w val="0.55740559702764358"/>
          <c:h val="0.7624397107101426"/>
        </c:manualLayout>
      </c:layout>
      <c:barChart>
        <c:barDir val="bar"/>
        <c:grouping val="percentStacked"/>
        <c:varyColors val="0"/>
        <c:ser>
          <c:idx val="0"/>
          <c:order val="0"/>
          <c:tx>
            <c:strRef>
              <c:f>Zamestnavatelia!$B$3</c:f>
              <c:strCache>
                <c:ptCount val="1"/>
                <c:pt idx="0">
                  <c:v>strongly disagree</c:v>
                </c:pt>
              </c:strCache>
            </c:strRef>
          </c:tx>
          <c:invertIfNegative val="0"/>
          <c:cat>
            <c:strRef>
              <c:f>Zamestnavatelia!$A$4:$A$6</c:f>
              <c:strCache>
                <c:ptCount val="3"/>
                <c:pt idx="0">
                  <c:v>In Slovakia, there are too many university educated people for the needs of the job market.</c:v>
                </c:pt>
                <c:pt idx="1">
                  <c:v>Our employees with university education are more productive than their counterparts with high school education (if they work at comparable positions).</c:v>
                </c:pt>
                <c:pt idx="2">
                  <c:v>University alumni are better prepared to succeed on the job market nowadays than they were in the past.</c:v>
                </c:pt>
              </c:strCache>
            </c:strRef>
          </c:cat>
          <c:val>
            <c:numRef>
              <c:f>Zamestnavatelia!$B$4:$B$6</c:f>
              <c:numCache>
                <c:formatCode>General</c:formatCode>
                <c:ptCount val="3"/>
                <c:pt idx="0">
                  <c:v>17</c:v>
                </c:pt>
                <c:pt idx="1">
                  <c:v>48</c:v>
                </c:pt>
                <c:pt idx="2">
                  <c:v>36</c:v>
                </c:pt>
              </c:numCache>
            </c:numRef>
          </c:val>
        </c:ser>
        <c:ser>
          <c:idx val="1"/>
          <c:order val="1"/>
          <c:tx>
            <c:strRef>
              <c:f>Zamestnavatelia!$C$3</c:f>
              <c:strCache>
                <c:ptCount val="1"/>
                <c:pt idx="0">
                  <c:v>slightly disagree</c:v>
                </c:pt>
              </c:strCache>
            </c:strRef>
          </c:tx>
          <c:invertIfNegative val="0"/>
          <c:cat>
            <c:strRef>
              <c:f>Zamestnavatelia!$A$4:$A$6</c:f>
              <c:strCache>
                <c:ptCount val="3"/>
                <c:pt idx="0">
                  <c:v>In Slovakia, there are too many university educated people for the needs of the job market.</c:v>
                </c:pt>
                <c:pt idx="1">
                  <c:v>Our employees with university education are more productive than their counterparts with high school education (if they work at comparable positions).</c:v>
                </c:pt>
                <c:pt idx="2">
                  <c:v>University alumni are better prepared to succeed on the job market nowadays than they were in the past.</c:v>
                </c:pt>
              </c:strCache>
            </c:strRef>
          </c:cat>
          <c:val>
            <c:numRef>
              <c:f>Zamestnavatelia!$C$4:$C$6</c:f>
              <c:numCache>
                <c:formatCode>General</c:formatCode>
                <c:ptCount val="3"/>
                <c:pt idx="0">
                  <c:v>61</c:v>
                </c:pt>
                <c:pt idx="1">
                  <c:v>95</c:v>
                </c:pt>
                <c:pt idx="2">
                  <c:v>74</c:v>
                </c:pt>
              </c:numCache>
            </c:numRef>
          </c:val>
        </c:ser>
        <c:ser>
          <c:idx val="2"/>
          <c:order val="2"/>
          <c:tx>
            <c:strRef>
              <c:f>Zamestnavatelia!$D$3</c:f>
              <c:strCache>
                <c:ptCount val="1"/>
                <c:pt idx="0">
                  <c:v>slightly agree</c:v>
                </c:pt>
              </c:strCache>
            </c:strRef>
          </c:tx>
          <c:invertIfNegative val="0"/>
          <c:cat>
            <c:strRef>
              <c:f>Zamestnavatelia!$A$4:$A$6</c:f>
              <c:strCache>
                <c:ptCount val="3"/>
                <c:pt idx="0">
                  <c:v>In Slovakia, there are too many university educated people for the needs of the job market.</c:v>
                </c:pt>
                <c:pt idx="1">
                  <c:v>Our employees with university education are more productive than their counterparts with high school education (if they work at comparable positions).</c:v>
                </c:pt>
                <c:pt idx="2">
                  <c:v>University alumni are better prepared to succeed on the job market nowadays than they were in the past.</c:v>
                </c:pt>
              </c:strCache>
            </c:strRef>
          </c:cat>
          <c:val>
            <c:numRef>
              <c:f>Zamestnavatelia!$D$4:$D$6</c:f>
              <c:numCache>
                <c:formatCode>General</c:formatCode>
                <c:ptCount val="3"/>
                <c:pt idx="0">
                  <c:v>84</c:v>
                </c:pt>
                <c:pt idx="1">
                  <c:v>79</c:v>
                </c:pt>
                <c:pt idx="2">
                  <c:v>84</c:v>
                </c:pt>
              </c:numCache>
            </c:numRef>
          </c:val>
        </c:ser>
        <c:ser>
          <c:idx val="3"/>
          <c:order val="3"/>
          <c:tx>
            <c:strRef>
              <c:f>Zamestnavatelia!$E$3</c:f>
              <c:strCache>
                <c:ptCount val="1"/>
                <c:pt idx="0">
                  <c:v>strongly agree</c:v>
                </c:pt>
              </c:strCache>
            </c:strRef>
          </c:tx>
          <c:invertIfNegative val="0"/>
          <c:cat>
            <c:strRef>
              <c:f>Zamestnavatelia!$A$4:$A$6</c:f>
              <c:strCache>
                <c:ptCount val="3"/>
                <c:pt idx="0">
                  <c:v>In Slovakia, there are too many university educated people for the needs of the job market.</c:v>
                </c:pt>
                <c:pt idx="1">
                  <c:v>Our employees with university education are more productive than their counterparts with high school education (if they work at comparable positions).</c:v>
                </c:pt>
                <c:pt idx="2">
                  <c:v>University alumni are better prepared to succeed on the job market nowadays than they were in the past.</c:v>
                </c:pt>
              </c:strCache>
            </c:strRef>
          </c:cat>
          <c:val>
            <c:numRef>
              <c:f>Zamestnavatelia!$E$4:$E$6</c:f>
              <c:numCache>
                <c:formatCode>General</c:formatCode>
                <c:ptCount val="3"/>
                <c:pt idx="0">
                  <c:v>96</c:v>
                </c:pt>
                <c:pt idx="1">
                  <c:v>28</c:v>
                </c:pt>
                <c:pt idx="2">
                  <c:v>30</c:v>
                </c:pt>
              </c:numCache>
            </c:numRef>
          </c:val>
        </c:ser>
        <c:ser>
          <c:idx val="4"/>
          <c:order val="4"/>
          <c:tx>
            <c:strRef>
              <c:f>Zamestnavatelia!$F$3</c:f>
              <c:strCache>
                <c:ptCount val="1"/>
                <c:pt idx="0">
                  <c:v>I don't know</c:v>
                </c:pt>
              </c:strCache>
            </c:strRef>
          </c:tx>
          <c:invertIfNegative val="0"/>
          <c:cat>
            <c:strRef>
              <c:f>Zamestnavatelia!$A$4:$A$6</c:f>
              <c:strCache>
                <c:ptCount val="3"/>
                <c:pt idx="0">
                  <c:v>In Slovakia, there are too many university educated people for the needs of the job market.</c:v>
                </c:pt>
                <c:pt idx="1">
                  <c:v>Our employees with university education are more productive than their counterparts with high school education (if they work at comparable positions).</c:v>
                </c:pt>
                <c:pt idx="2">
                  <c:v>University alumni are better prepared to succeed on the job market nowadays than they were in the past.</c:v>
                </c:pt>
              </c:strCache>
            </c:strRef>
          </c:cat>
          <c:val>
            <c:numRef>
              <c:f>Zamestnavatelia!$F$4:$F$6</c:f>
              <c:numCache>
                <c:formatCode>General</c:formatCode>
                <c:ptCount val="3"/>
                <c:pt idx="0">
                  <c:v>21</c:v>
                </c:pt>
                <c:pt idx="1">
                  <c:v>24</c:v>
                </c:pt>
                <c:pt idx="2">
                  <c:v>50</c:v>
                </c:pt>
              </c:numCache>
            </c:numRef>
          </c:val>
        </c:ser>
        <c:dLbls>
          <c:showLegendKey val="0"/>
          <c:showVal val="0"/>
          <c:showCatName val="0"/>
          <c:showSerName val="0"/>
          <c:showPercent val="0"/>
          <c:showBubbleSize val="0"/>
        </c:dLbls>
        <c:gapWidth val="150"/>
        <c:overlap val="100"/>
        <c:axId val="186948608"/>
        <c:axId val="186950400"/>
      </c:barChart>
      <c:catAx>
        <c:axId val="186948608"/>
        <c:scaling>
          <c:orientation val="maxMin"/>
        </c:scaling>
        <c:delete val="0"/>
        <c:axPos val="l"/>
        <c:numFmt formatCode="General" sourceLinked="1"/>
        <c:majorTickMark val="none"/>
        <c:minorTickMark val="none"/>
        <c:tickLblPos val="nextTo"/>
        <c:spPr>
          <a:ln w="3175">
            <a:solidFill>
              <a:srgbClr val="808080"/>
            </a:solidFill>
            <a:prstDash val="solid"/>
          </a:ln>
        </c:spPr>
        <c:txPr>
          <a:bodyPr rot="0" vert="horz"/>
          <a:lstStyle/>
          <a:p>
            <a:pPr>
              <a:defRPr sz="900" b="0" i="0" u="none" strike="noStrike" baseline="0">
                <a:solidFill>
                  <a:srgbClr val="333333"/>
                </a:solidFill>
                <a:latin typeface="Times New Roman" pitchFamily="18" charset="0"/>
                <a:ea typeface="Calibri"/>
                <a:cs typeface="Times New Roman" pitchFamily="18" charset="0"/>
              </a:defRPr>
            </a:pPr>
            <a:endParaRPr lang="en-US"/>
          </a:p>
        </c:txPr>
        <c:crossAx val="186950400"/>
        <c:crosses val="autoZero"/>
        <c:auto val="1"/>
        <c:lblAlgn val="ctr"/>
        <c:lblOffset val="100"/>
        <c:noMultiLvlLbl val="0"/>
      </c:catAx>
      <c:valAx>
        <c:axId val="186950400"/>
        <c:scaling>
          <c:orientation val="minMax"/>
        </c:scaling>
        <c:delete val="0"/>
        <c:axPos val="t"/>
        <c:majorGridlines>
          <c:spPr>
            <a:ln w="3175">
              <a:solidFill>
                <a:srgbClr val="808080"/>
              </a:solidFill>
              <a:prstDash val="solid"/>
            </a:ln>
          </c:spPr>
        </c:majorGridlines>
        <c:numFmt formatCode="0%" sourceLinked="1"/>
        <c:majorTickMark val="out"/>
        <c:minorTickMark val="none"/>
        <c:tickLblPos val="nextTo"/>
        <c:spPr>
          <a:ln w="3175">
            <a:solidFill>
              <a:srgbClr val="808080"/>
            </a:solidFill>
            <a:prstDash val="solid"/>
          </a:ln>
        </c:spPr>
        <c:txPr>
          <a:bodyPr rot="0" vert="horz"/>
          <a:lstStyle/>
          <a:p>
            <a:pPr>
              <a:defRPr sz="900" b="0" i="0" u="none" strike="noStrike" baseline="0">
                <a:solidFill>
                  <a:srgbClr val="333333"/>
                </a:solidFill>
                <a:latin typeface="Times New Roman" pitchFamily="18" charset="0"/>
                <a:ea typeface="Calibri"/>
                <a:cs typeface="Times New Roman" pitchFamily="18" charset="0"/>
              </a:defRPr>
            </a:pPr>
            <a:endParaRPr lang="en-US"/>
          </a:p>
        </c:txPr>
        <c:crossAx val="186948608"/>
        <c:crosses val="autoZero"/>
        <c:crossBetween val="between"/>
      </c:valAx>
    </c:plotArea>
    <c:legend>
      <c:legendPos val="b"/>
      <c:layout>
        <c:manualLayout>
          <c:xMode val="edge"/>
          <c:yMode val="edge"/>
          <c:x val="0.13936745742889844"/>
          <c:y val="0.91705948273320004"/>
          <c:w val="0.72126495071598751"/>
          <c:h val="6.0405202158718932E-2"/>
        </c:manualLayout>
      </c:layout>
      <c:overlay val="0"/>
      <c:txPr>
        <a:bodyPr/>
        <a:lstStyle/>
        <a:p>
          <a:pPr>
            <a:defRPr sz="900" b="0" i="0" u="none" strike="noStrike" baseline="0">
              <a:solidFill>
                <a:srgbClr val="333333"/>
              </a:solidFill>
              <a:latin typeface="Times New Roman" pitchFamily="18" charset="0"/>
              <a:ea typeface="Calibri"/>
              <a:cs typeface="Times New Roman" pitchFamily="18" charset="0"/>
            </a:defRPr>
          </a:pPr>
          <a:endParaRPr lang="en-US"/>
        </a:p>
      </c:txPr>
    </c:legend>
    <c:plotVisOnly val="1"/>
    <c:dispBlanksAs val="gap"/>
    <c:showDLblsOverMax val="0"/>
  </c:chart>
  <c:spPr>
    <a:solidFill>
      <a:srgbClr val="EEEEEE"/>
    </a:solidFill>
    <a:ln w="3175">
      <a:solidFill>
        <a:srgbClr val="808080"/>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1EF7-71CD-42DC-AFA8-10CF6B02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4028</Words>
  <Characters>22963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Busikova Alena</dc:creator>
  <cp:lastModifiedBy>Busikova Alena</cp:lastModifiedBy>
  <cp:revision>2</cp:revision>
  <cp:lastPrinted>2012-09-07T13:43:00Z</cp:lastPrinted>
  <dcterms:created xsi:type="dcterms:W3CDTF">2012-09-07T14:11:00Z</dcterms:created>
  <dcterms:modified xsi:type="dcterms:W3CDTF">2012-09-07T14:11:00Z</dcterms:modified>
</cp:coreProperties>
</file>